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ABE" w:rsidRDefault="009B4E43">
      <w:pPr>
        <w:pStyle w:val="a8"/>
        <w:jc w:val="left"/>
        <w:rPr>
          <w:rFonts w:ascii="楷体_GB2312" w:eastAsia="楷体_GB2312"/>
          <w:sz w:val="32"/>
          <w:szCs w:val="30"/>
        </w:rPr>
      </w:pPr>
      <w:r>
        <w:rPr>
          <w:rFonts w:ascii="楷体_GB2312" w:eastAsia="楷体_GB2312" w:hint="eastAsia"/>
          <w:sz w:val="32"/>
          <w:szCs w:val="30"/>
        </w:rPr>
        <w:t>附件17：</w:t>
      </w:r>
    </w:p>
    <w:p w:rsidR="00426ABE" w:rsidRDefault="009B4E43">
      <w:pPr>
        <w:pStyle w:val="1"/>
        <w:ind w:firstLineChars="0" w:firstLine="0"/>
        <w:jc w:val="center"/>
      </w:pPr>
      <w:r>
        <w:rPr>
          <w:rFonts w:hint="eastAsia"/>
        </w:rPr>
        <w:t>信用估值调整风险加权资产计量规则</w:t>
      </w:r>
    </w:p>
    <w:p w:rsidR="00426ABE" w:rsidRDefault="00426ABE">
      <w:pPr>
        <w:spacing w:line="480" w:lineRule="exact"/>
        <w:ind w:firstLineChars="200" w:firstLine="602"/>
        <w:rPr>
          <w:rFonts w:eastAsia="黑体"/>
          <w:b/>
          <w:sz w:val="30"/>
          <w:szCs w:val="30"/>
        </w:rPr>
      </w:pPr>
    </w:p>
    <w:p w:rsidR="00426ABE" w:rsidRDefault="009B4E43">
      <w:pPr>
        <w:pStyle w:val="2"/>
      </w:pPr>
      <w:r>
        <w:rPr>
          <w:rFonts w:hint="eastAsia"/>
        </w:rPr>
        <w:t>一、总体要求</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一）商业银行应对与非合格中央交易对手开展的衍生工具交易计量信用估值调整（CVA）风险资本要求，其中，非合格中央交易对手包括非中央交易对手和不合格中央交易对手，衍生工具的范围见本办法附件9第一部分（四）。</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商业银行无需计量证券融资交易的信用估值调整资本要求，其中，证券融资交易的范围见本办法附件9第一部分（五）。</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对于证券融资交易信用估值调整风险较大的商业银行，银保监会有权要求其额外计提该类业务的信用估值调整风险资本。</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（二）商业银行非合格中央交易对手衍生工具名义金额合计小于或等于8000亿元的，可采用简化方法，即</w:t>
      </w:r>
      <w:proofErr w:type="gramStart"/>
      <w:r>
        <w:rPr>
          <w:rFonts w:ascii="仿宋_GB2312" w:eastAsia="仿宋_GB2312" w:hAnsi="Times New Roman" w:cs="Times New Roman" w:hint="eastAsia"/>
          <w:color w:val="auto"/>
          <w:kern w:val="2"/>
          <w:sz w:val="30"/>
          <w:szCs w:val="30"/>
        </w:rPr>
        <w:t>取交易</w:t>
      </w:r>
      <w:proofErr w:type="gramEnd"/>
      <w:r>
        <w:rPr>
          <w:rFonts w:ascii="仿宋_GB2312" w:eastAsia="仿宋_GB2312" w:hAnsi="Times New Roman" w:cs="Times New Roman" w:hint="eastAsia"/>
          <w:color w:val="auto"/>
          <w:kern w:val="2"/>
          <w:sz w:val="30"/>
          <w:szCs w:val="30"/>
        </w:rPr>
        <w:t>对手违约风险资本要求作为其信用估值调整资本要求。在此情况下，不认可信用估值调整对冲影响。</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（三）信用估值调整对</w:t>
      </w:r>
      <w:proofErr w:type="gramStart"/>
      <w:r>
        <w:rPr>
          <w:rFonts w:ascii="仿宋_GB2312" w:eastAsia="仿宋_GB2312" w:hAnsi="Times New Roman" w:cs="Times New Roman" w:hint="eastAsia"/>
          <w:color w:val="auto"/>
          <w:kern w:val="2"/>
          <w:sz w:val="30"/>
          <w:szCs w:val="30"/>
        </w:rPr>
        <w:t>冲工具</w:t>
      </w:r>
      <w:proofErr w:type="gramEnd"/>
      <w:r>
        <w:rPr>
          <w:rFonts w:ascii="仿宋_GB2312" w:eastAsia="仿宋_GB2312" w:hAnsi="Times New Roman" w:cs="Times New Roman" w:hint="eastAsia"/>
          <w:color w:val="auto"/>
          <w:kern w:val="2"/>
          <w:sz w:val="30"/>
          <w:szCs w:val="30"/>
        </w:rPr>
        <w:t>可以是与其他交易对手开展的外部工具，也可以是与商业银行某一交易台开展的内部工具。如果外部信用估值调整对</w:t>
      </w:r>
      <w:proofErr w:type="gramStart"/>
      <w:r>
        <w:rPr>
          <w:rFonts w:ascii="仿宋_GB2312" w:eastAsia="仿宋_GB2312" w:hAnsi="Times New Roman" w:cs="Times New Roman" w:hint="eastAsia"/>
          <w:color w:val="auto"/>
          <w:kern w:val="2"/>
          <w:sz w:val="30"/>
          <w:szCs w:val="30"/>
        </w:rPr>
        <w:t>冲属于</w:t>
      </w:r>
      <w:proofErr w:type="gramEnd"/>
      <w:r>
        <w:rPr>
          <w:rFonts w:ascii="仿宋_GB2312" w:eastAsia="仿宋_GB2312" w:hAnsi="Times New Roman" w:cs="Times New Roman" w:hint="eastAsia"/>
          <w:color w:val="auto"/>
          <w:kern w:val="2"/>
          <w:sz w:val="30"/>
          <w:szCs w:val="30"/>
        </w:rPr>
        <w:t>本部分（一）规定的范围，应对该对冲交易计算交易对手信用估值调整资本要求。合格的外部信用估值调整对</w:t>
      </w:r>
      <w:proofErr w:type="gramStart"/>
      <w:r>
        <w:rPr>
          <w:rFonts w:ascii="仿宋_GB2312" w:eastAsia="仿宋_GB2312" w:hAnsi="Times New Roman" w:cs="Times New Roman" w:hint="eastAsia"/>
          <w:color w:val="auto"/>
          <w:kern w:val="2"/>
          <w:sz w:val="30"/>
          <w:szCs w:val="30"/>
        </w:rPr>
        <w:t>冲工具</w:t>
      </w:r>
      <w:proofErr w:type="gramEnd"/>
      <w:r>
        <w:rPr>
          <w:rFonts w:ascii="仿宋_GB2312" w:eastAsia="仿宋_GB2312" w:hAnsi="Times New Roman" w:cs="Times New Roman" w:hint="eastAsia"/>
          <w:color w:val="auto"/>
          <w:kern w:val="2"/>
          <w:sz w:val="30"/>
          <w:szCs w:val="30"/>
        </w:rPr>
        <w:t>无需计量市场风险资本，不合格的外部信用估值调整对</w:t>
      </w:r>
      <w:proofErr w:type="gramStart"/>
      <w:r>
        <w:rPr>
          <w:rFonts w:ascii="仿宋_GB2312" w:eastAsia="仿宋_GB2312" w:hAnsi="Times New Roman" w:cs="Times New Roman" w:hint="eastAsia"/>
          <w:color w:val="auto"/>
          <w:kern w:val="2"/>
          <w:sz w:val="30"/>
          <w:szCs w:val="30"/>
        </w:rPr>
        <w:t>冲工具</w:t>
      </w:r>
      <w:proofErr w:type="gramEnd"/>
      <w:r>
        <w:rPr>
          <w:rFonts w:ascii="仿宋_GB2312" w:eastAsia="仿宋_GB2312" w:hAnsi="Times New Roman" w:cs="Times New Roman" w:hint="eastAsia"/>
          <w:color w:val="auto"/>
          <w:kern w:val="2"/>
          <w:sz w:val="30"/>
          <w:szCs w:val="30"/>
        </w:rPr>
        <w:t>视为交易账簿工具，并纳入市场风险资本框架。如果内部信用估值调整为合格对冲，信用估值调整交易台的头寸应纳入信用估值调整资本计算框架，其对应头寸作为交易账簿头寸纳入市场风险资本框架计算资本要求。</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（四）合格对冲交易应符合以下特征：</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1．交易目的为缓释信用估值调整风险中的交易对手信用利</w:t>
      </w:r>
      <w:r>
        <w:rPr>
          <w:rFonts w:ascii="仿宋_GB2312" w:eastAsia="仿宋_GB2312" w:hAnsi="Times New Roman" w:cs="Times New Roman" w:hint="eastAsia"/>
          <w:color w:val="auto"/>
          <w:kern w:val="2"/>
          <w:sz w:val="30"/>
          <w:szCs w:val="30"/>
        </w:rPr>
        <w:lastRenderedPageBreak/>
        <w:t>差；</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2．交易品种为单名信用违约互换、单名或有信用违约互换或指数信用违约互换。</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（五）合格的单名信用工具应满足以下情形之一：</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1．直接基于该交易对手；</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2．基于与交易对手具有法律相关性的实体，其中法律相关性是指和交易对手是母公司与子公司或共同一个母公司的关系；</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3．基于与交易对手同在一个行业或地区的实体。</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（六）信用估值调整资本要求的计算分为简化版和完整版。存在信用估值调整风险合格对冲的商业银行可适用完整版。</w:t>
      </w:r>
    </w:p>
    <w:p w:rsidR="00426ABE" w:rsidRDefault="009B4E43">
      <w:pPr>
        <w:pStyle w:val="2"/>
      </w:pPr>
      <w:r>
        <w:rPr>
          <w:rFonts w:hint="eastAsia"/>
        </w:rPr>
        <w:t>二、信用估值调整简化</w:t>
      </w:r>
      <w:proofErr w:type="gramStart"/>
      <w:r>
        <w:rPr>
          <w:rFonts w:hint="eastAsia"/>
        </w:rPr>
        <w:t>版风险</w:t>
      </w:r>
      <w:proofErr w:type="gramEnd"/>
      <w:r>
        <w:rPr>
          <w:rFonts w:hint="eastAsia"/>
        </w:rPr>
        <w:t>加权资产的计量</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int="eastAsia"/>
          <w:sz w:val="30"/>
          <w:szCs w:val="30"/>
        </w:rPr>
        <w:t>（一）商业银行应采用以下公式计算信用估值调整风险加权资</w:t>
      </w:r>
      <w:r>
        <w:rPr>
          <w:rFonts w:ascii="仿宋_GB2312" w:eastAsia="仿宋_GB2312" w:hAnsi="Times New Roman" w:cs="Times New Roman" w:hint="eastAsia"/>
          <w:color w:val="auto"/>
          <w:kern w:val="2"/>
          <w:sz w:val="30"/>
          <w:szCs w:val="30"/>
        </w:rPr>
        <w:t>产：</w:t>
      </w:r>
    </w:p>
    <w:bookmarkStart w:id="0" w:name="MTBlankEqn"/>
    <w:p w:rsidR="00426ABE" w:rsidRDefault="009B4E43">
      <w:pPr>
        <w:pStyle w:val="Default"/>
        <w:spacing w:line="480" w:lineRule="exact"/>
        <w:ind w:firstLineChars="200" w:firstLine="600"/>
        <w:jc w:val="center"/>
        <w:rPr>
          <w:rFonts w:ascii="仿宋_GB2312" w:eastAsia="仿宋_GB2312" w:hAnsi="Times New Roman" w:cs="Times New Roman"/>
          <w:sz w:val="30"/>
          <w:szCs w:val="30"/>
        </w:rPr>
      </w:pPr>
      <w:r>
        <w:rPr>
          <w:rFonts w:ascii="仿宋_GB2312" w:eastAsia="仿宋_GB2312" w:hAnsi="Times New Roman" w:cs="Times New Roman" w:hint="eastAsia"/>
          <w:position w:val="-12"/>
          <w:sz w:val="30"/>
          <w:szCs w:val="30"/>
        </w:rPr>
        <w:object w:dxaOrig="4500" w:dyaOrig="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95pt;height:19.75pt" o:ole="">
            <v:imagedata r:id="rId8" o:title=""/>
          </v:shape>
          <o:OLEObject Type="Embed" ProgID="Equation.DSMT4" ShapeID="_x0000_i1025" DrawAspect="Content" ObjectID="_1738163126" r:id="rId9"/>
        </w:object>
      </w:r>
      <w:bookmarkEnd w:id="0"/>
    </w:p>
    <w:p w:rsidR="00426ABE" w:rsidRDefault="009B4E43">
      <w:pPr>
        <w:pStyle w:val="Default"/>
        <w:spacing w:line="480" w:lineRule="exact"/>
        <w:ind w:firstLineChars="200" w:firstLine="600"/>
        <w:jc w:val="center"/>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8"/>
          <w:sz w:val="30"/>
          <w:szCs w:val="30"/>
        </w:rPr>
        <w:object w:dxaOrig="4560" w:dyaOrig="564">
          <v:shape id="_x0000_i1026" type="#_x0000_t75" style="width:228.25pt;height:28.25pt" o:ole="">
            <v:imagedata r:id="rId10" o:title=""/>
          </v:shape>
          <o:OLEObject Type="Embed" ProgID="Equation.DSMT4" ShapeID="_x0000_i1026" DrawAspect="Content" ObjectID="_1738163127" r:id="rId11"/>
        </w:object>
      </w:r>
      <w:r>
        <w:rPr>
          <w:rFonts w:ascii="仿宋_GB2312" w:eastAsia="仿宋_GB2312" w:hAnsi="Times New Roman" w:cs="Times New Roman" w:hint="eastAsia"/>
          <w:color w:val="auto"/>
          <w:kern w:val="2"/>
          <w:sz w:val="30"/>
          <w:szCs w:val="30"/>
        </w:rPr>
        <w:t xml:space="preserve"> </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其中：</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2"/>
          <w:sz w:val="30"/>
          <w:szCs w:val="30"/>
        </w:rPr>
        <w:object w:dxaOrig="816" w:dyaOrig="384">
          <v:shape id="_x0000_i1027" type="#_x0000_t75" style="width:40.95pt;height:19.3pt" o:ole="">
            <v:imagedata r:id="rId12" o:title=""/>
          </v:shape>
          <o:OLEObject Type="Embed" ProgID="Equation.DSMT4" ShapeID="_x0000_i1027" DrawAspect="Content" ObjectID="_1738163128" r:id="rId13"/>
        </w:object>
      </w:r>
      <w:r>
        <w:rPr>
          <w:rFonts w:ascii="仿宋_GB2312" w:eastAsia="仿宋_GB2312" w:hAnsi="Times New Roman" w:cs="Times New Roman" w:hint="eastAsia"/>
          <w:color w:val="auto"/>
          <w:kern w:val="2"/>
          <w:sz w:val="30"/>
          <w:szCs w:val="30"/>
        </w:rPr>
        <w:t>是单独考虑交易对手c的信用估值调整资本要求。</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0"/>
          <w:sz w:val="30"/>
          <w:szCs w:val="30"/>
        </w:rPr>
        <w:object w:dxaOrig="264" w:dyaOrig="276">
          <v:shape id="_x0000_i1028" type="#_x0000_t75" style="width:13.2pt;height:14.1pt" o:ole="">
            <v:imagedata r:id="rId14" o:title=""/>
          </v:shape>
          <o:OLEObject Type="Embed" ProgID="Equation.DSMT4" ShapeID="_x0000_i1028" DrawAspect="Content" ObjectID="_1738163129" r:id="rId15"/>
        </w:object>
      </w:r>
      <w:r>
        <w:rPr>
          <w:rFonts w:ascii="仿宋_GB2312" w:eastAsia="仿宋_GB2312" w:hAnsi="Times New Roman" w:cs="Times New Roman" w:hint="eastAsia"/>
          <w:color w:val="auto"/>
          <w:kern w:val="2"/>
          <w:sz w:val="30"/>
          <w:szCs w:val="30"/>
        </w:rPr>
        <w:t>是监管相关系数，</w:t>
      </w:r>
      <w:r>
        <w:rPr>
          <w:rFonts w:ascii="仿宋_GB2312" w:eastAsia="仿宋_GB2312" w:hAnsi="Times New Roman" w:cs="Times New Roman" w:hint="eastAsia"/>
          <w:position w:val="-10"/>
          <w:sz w:val="30"/>
          <w:szCs w:val="30"/>
        </w:rPr>
        <w:object w:dxaOrig="264" w:dyaOrig="276">
          <v:shape id="_x0000_i1029" type="#_x0000_t75" style="width:13.2pt;height:14.1pt" o:ole="">
            <v:imagedata r:id="rId16" o:title=""/>
          </v:shape>
          <o:OLEObject Type="Embed" ProgID="Equation.DSMT4" ShapeID="_x0000_i1029" DrawAspect="Content" ObjectID="_1738163130" r:id="rId17"/>
        </w:object>
      </w:r>
      <w:r>
        <w:rPr>
          <w:rFonts w:ascii="仿宋_GB2312" w:eastAsia="仿宋_GB2312" w:hAnsi="Times New Roman" w:cs="Times New Roman" w:hint="eastAsia"/>
          <w:color w:val="auto"/>
          <w:kern w:val="2"/>
          <w:sz w:val="30"/>
          <w:szCs w:val="30"/>
        </w:rPr>
        <w:t>=0.5。</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（二）单独考虑交易对手c的信用估值调整资本要求</w:t>
      </w:r>
      <w:r>
        <w:rPr>
          <w:rFonts w:ascii="仿宋_GB2312" w:eastAsia="仿宋_GB2312" w:hAnsi="Times New Roman" w:cs="Times New Roman" w:hint="eastAsia"/>
          <w:position w:val="-12"/>
          <w:sz w:val="30"/>
          <w:szCs w:val="30"/>
        </w:rPr>
        <w:object w:dxaOrig="816" w:dyaOrig="384">
          <v:shape id="_x0000_i1030" type="#_x0000_t75" style="width:40.95pt;height:19.3pt" o:ole="">
            <v:imagedata r:id="rId18" o:title=""/>
          </v:shape>
          <o:OLEObject Type="Embed" ProgID="Equation.DSMT4" ShapeID="_x0000_i1030" DrawAspect="Content" ObjectID="_1738163131" r:id="rId19"/>
        </w:object>
      </w:r>
      <w:r>
        <w:rPr>
          <w:rFonts w:ascii="仿宋_GB2312" w:eastAsia="仿宋_GB2312" w:hAnsi="Times New Roman" w:cs="Times New Roman" w:hint="eastAsia"/>
          <w:color w:val="auto"/>
          <w:kern w:val="2"/>
          <w:sz w:val="30"/>
          <w:szCs w:val="30"/>
        </w:rPr>
        <w:t>计算公式如下：</w:t>
      </w:r>
    </w:p>
    <w:p w:rsidR="00426ABE" w:rsidRDefault="009B4E43">
      <w:pPr>
        <w:pStyle w:val="Default"/>
        <w:ind w:firstLineChars="200" w:firstLine="600"/>
        <w:jc w:val="center"/>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28"/>
          <w:sz w:val="30"/>
          <w:szCs w:val="30"/>
        </w:rPr>
        <w:object w:dxaOrig="4044" w:dyaOrig="660">
          <v:shape id="_x0000_i1031" type="#_x0000_t75" style="width:201.9pt;height:32.95pt" o:ole="">
            <v:imagedata r:id="rId20" o:title=""/>
          </v:shape>
          <o:OLEObject Type="Embed" ProgID="Equation.DSMT4" ShapeID="_x0000_i1031" DrawAspect="Content" ObjectID="_1738163132" r:id="rId21"/>
        </w:objec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其中：</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2"/>
          <w:sz w:val="30"/>
          <w:szCs w:val="30"/>
        </w:rPr>
        <w:object w:dxaOrig="516" w:dyaOrig="360">
          <v:shape id="_x0000_i1032" type="#_x0000_t75" style="width:25.9pt;height:17.9pt" o:ole="">
            <v:imagedata r:id="rId22" o:title=""/>
          </v:shape>
          <o:OLEObject Type="Embed" ProgID="Equation.DSMT4" ShapeID="_x0000_i1032" DrawAspect="Content" ObjectID="_1738163133" r:id="rId23"/>
        </w:object>
      </w:r>
      <w:r>
        <w:rPr>
          <w:rFonts w:ascii="仿宋_GB2312" w:eastAsia="仿宋_GB2312" w:hAnsi="Times New Roman" w:cs="Times New Roman" w:hint="eastAsia"/>
          <w:color w:val="auto"/>
          <w:kern w:val="2"/>
          <w:sz w:val="30"/>
          <w:szCs w:val="30"/>
        </w:rPr>
        <w:t>是交易对手c的风险权重，基于交易对手所在行业和信用水平综合确定。</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4"/>
          <w:sz w:val="30"/>
          <w:szCs w:val="30"/>
        </w:rPr>
        <w:object w:dxaOrig="624" w:dyaOrig="396">
          <v:shape id="_x0000_i1033" type="#_x0000_t75" style="width:31.05pt;height:19.75pt" o:ole="">
            <v:imagedata r:id="rId24" o:title=""/>
          </v:shape>
          <o:OLEObject Type="Embed" ProgID="Equation.DSMT4" ShapeID="_x0000_i1033" DrawAspect="Content" ObjectID="_1738163134" r:id="rId25"/>
        </w:object>
      </w:r>
      <w:r>
        <w:rPr>
          <w:rFonts w:ascii="仿宋_GB2312" w:eastAsia="仿宋_GB2312" w:hAnsi="Times New Roman" w:cs="Times New Roman" w:hint="eastAsia"/>
          <w:color w:val="auto"/>
          <w:kern w:val="2"/>
          <w:sz w:val="30"/>
          <w:szCs w:val="30"/>
        </w:rPr>
        <w:t>是净额结算组合NS的有效期限，详见本办法</w:t>
      </w:r>
      <w:r>
        <w:rPr>
          <w:rFonts w:ascii="仿宋_GB2312" w:eastAsia="仿宋_GB2312" w:hAnsi="Times New Roman" w:cs="Times New Roman" w:hint="eastAsia"/>
          <w:sz w:val="30"/>
          <w:szCs w:val="30"/>
        </w:rPr>
        <w:t>附件5第六部分（六），且</w:t>
      </w:r>
      <w:r>
        <w:rPr>
          <w:rFonts w:ascii="仿宋_GB2312" w:eastAsia="仿宋_GB2312" w:hAnsi="Times New Roman" w:cs="Times New Roman" w:hint="eastAsia"/>
          <w:position w:val="-14"/>
          <w:sz w:val="30"/>
          <w:szCs w:val="30"/>
        </w:rPr>
        <w:object w:dxaOrig="624" w:dyaOrig="396">
          <v:shape id="_x0000_i1034" type="#_x0000_t75" style="width:31.05pt;height:19.75pt" o:ole="">
            <v:imagedata r:id="rId26" o:title=""/>
          </v:shape>
          <o:OLEObject Type="Embed" ProgID="Equation.DSMT4" ShapeID="_x0000_i1034" DrawAspect="Content" ObjectID="_1738163135" r:id="rId27"/>
        </w:object>
      </w:r>
      <w:r>
        <w:rPr>
          <w:rFonts w:ascii="仿宋_GB2312" w:eastAsia="仿宋_GB2312" w:hAnsi="Times New Roman" w:cs="Times New Roman" w:hint="eastAsia"/>
          <w:sz w:val="30"/>
          <w:szCs w:val="30"/>
        </w:rPr>
        <w:t>不受上限（5年）和下限（1年）的限制</w:t>
      </w:r>
      <w:r>
        <w:rPr>
          <w:rFonts w:ascii="仿宋_GB2312" w:eastAsia="仿宋_GB2312" w:hAnsi="Times New Roman" w:cs="Times New Roman" w:hint="eastAsia"/>
          <w:color w:val="auto"/>
          <w:kern w:val="2"/>
          <w:sz w:val="30"/>
          <w:szCs w:val="30"/>
        </w:rPr>
        <w:t>。对于双边非净额结算交易，单笔交易视为一个净额结算组合。</w:t>
      </w:r>
    </w:p>
    <w:p w:rsidR="00426ABE" w:rsidRDefault="009B4E43">
      <w:pPr>
        <w:pStyle w:val="Default"/>
        <w:spacing w:line="480" w:lineRule="exact"/>
        <w:ind w:firstLineChars="200" w:firstLine="600"/>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4"/>
          <w:sz w:val="30"/>
          <w:szCs w:val="30"/>
        </w:rPr>
        <w:object w:dxaOrig="924" w:dyaOrig="396">
          <v:shape id="_x0000_i1035" type="#_x0000_t75" style="width:46.1pt;height:19.75pt" o:ole="">
            <v:imagedata r:id="rId28" o:title=""/>
          </v:shape>
          <o:OLEObject Type="Embed" ProgID="Equation.DSMT4" ShapeID="_x0000_i1035" DrawAspect="Content" ObjectID="_1738163136" r:id="rId29"/>
        </w:object>
      </w:r>
      <w:r>
        <w:rPr>
          <w:rFonts w:ascii="仿宋_GB2312" w:eastAsia="仿宋_GB2312" w:hAnsi="Times New Roman" w:cs="Times New Roman" w:hint="eastAsia"/>
          <w:color w:val="auto"/>
          <w:kern w:val="2"/>
          <w:sz w:val="30"/>
          <w:szCs w:val="30"/>
        </w:rPr>
        <w:t>是净额结算组合NS的违约风险暴露，计算方法与交易对手违约风险暴露计量规则一致，详见本办法附件9。</w:t>
      </w:r>
    </w:p>
    <w:p w:rsidR="00426ABE" w:rsidRDefault="009B4E43">
      <w:pPr>
        <w:pStyle w:val="Default"/>
        <w:ind w:firstLineChars="200" w:firstLine="600"/>
        <w:jc w:val="both"/>
        <w:rPr>
          <w:rFonts w:ascii="仿宋_GB2312" w:eastAsia="仿宋_GB2312" w:hAnsi="Times New Roman" w:cs="Times New Roman"/>
          <w:sz w:val="30"/>
          <w:szCs w:val="30"/>
        </w:rPr>
      </w:pPr>
      <w:r>
        <w:rPr>
          <w:rFonts w:ascii="仿宋_GB2312" w:eastAsia="仿宋_GB2312" w:hAnsi="Times New Roman" w:cs="Times New Roman" w:hint="eastAsia"/>
          <w:position w:val="-14"/>
          <w:sz w:val="30"/>
          <w:szCs w:val="30"/>
        </w:rPr>
        <w:object w:dxaOrig="720" w:dyaOrig="396">
          <v:shape id="_x0000_i1036" type="#_x0000_t75" style="width:36.25pt;height:19.75pt" o:ole="">
            <v:imagedata r:id="rId30" o:title=""/>
          </v:shape>
          <o:OLEObject Type="Embed" ProgID="Equation.DSMT4" ShapeID="_x0000_i1036" DrawAspect="Content" ObjectID="_1738163137" r:id="rId31"/>
        </w:object>
      </w:r>
      <w:r>
        <w:rPr>
          <w:rFonts w:ascii="仿宋_GB2312" w:eastAsia="仿宋_GB2312" w:hAnsi="Times New Roman" w:cs="Times New Roman" w:hint="eastAsia"/>
          <w:sz w:val="30"/>
          <w:szCs w:val="30"/>
        </w:rPr>
        <w:t>是监管折现因子, 公式为</w:t>
      </w:r>
      <w:r>
        <w:rPr>
          <w:rFonts w:ascii="仿宋_GB2312" w:eastAsia="仿宋_GB2312" w:hAnsi="Times New Roman" w:cs="Times New Roman" w:hint="eastAsia"/>
          <w:position w:val="-34"/>
          <w:sz w:val="30"/>
          <w:szCs w:val="30"/>
        </w:rPr>
        <w:object w:dxaOrig="1495" w:dyaOrig="800">
          <v:shape id="_x0000_i1037" type="#_x0000_t75" style="width:74.8pt;height:40pt" o:ole="">
            <v:imagedata r:id="rId32" o:title=""/>
          </v:shape>
          <o:OLEObject Type="Embed" ProgID="Equation.DSMT4" ShapeID="_x0000_i1037" DrawAspect="Content" ObjectID="_1738163138" r:id="rId33"/>
        </w:object>
      </w:r>
      <w:r>
        <w:rPr>
          <w:rFonts w:ascii="仿宋_GB2312" w:eastAsia="仿宋_GB2312" w:hAnsi="Times New Roman" w:cs="Times New Roman" w:hint="eastAsia"/>
          <w:sz w:val="30"/>
          <w:szCs w:val="30"/>
        </w:rPr>
        <w:t xml:space="preserve"> </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6"/>
          <w:sz w:val="30"/>
          <w:szCs w:val="30"/>
        </w:rPr>
        <w:object w:dxaOrig="276" w:dyaOrig="264">
          <v:shape id="_x0000_i1038" type="#_x0000_t75" style="width:14.1pt;height:13.2pt" o:ole="">
            <v:imagedata r:id="rId34" o:title=""/>
          </v:shape>
          <o:OLEObject Type="Embed" ProgID="Equation.DSMT4" ShapeID="_x0000_i1038" DrawAspect="Content" ObjectID="_1738163139" r:id="rId35"/>
        </w:object>
      </w:r>
      <w:r>
        <w:rPr>
          <w:rFonts w:ascii="仿宋_GB2312" w:eastAsia="仿宋_GB2312" w:hAnsi="Times New Roman" w:cs="Times New Roman" w:hint="eastAsia"/>
          <w:color w:val="auto"/>
          <w:kern w:val="2"/>
          <w:sz w:val="30"/>
          <w:szCs w:val="30"/>
        </w:rPr>
        <w:t>=1.4。</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（三）</w:t>
      </w:r>
      <w:r>
        <w:rPr>
          <w:rFonts w:ascii="仿宋_GB2312" w:eastAsia="仿宋_GB2312" w:hAnsi="Times New Roman" w:cs="Times New Roman" w:hint="eastAsia"/>
          <w:sz w:val="30"/>
          <w:szCs w:val="30"/>
        </w:rPr>
        <w:t>风险权重</w:t>
      </w:r>
      <w:r>
        <w:rPr>
          <w:rFonts w:ascii="仿宋_GB2312" w:eastAsia="仿宋_GB2312" w:hAnsi="Times New Roman" w:cs="Times New Roman" w:hint="eastAsia"/>
          <w:position w:val="-12"/>
          <w:sz w:val="30"/>
          <w:szCs w:val="30"/>
        </w:rPr>
        <w:object w:dxaOrig="516" w:dyaOrig="360">
          <v:shape id="_x0000_i1039" type="#_x0000_t75" style="width:25.9pt;height:17.9pt" o:ole="">
            <v:imagedata r:id="rId22" o:title=""/>
          </v:shape>
          <o:OLEObject Type="Embed" ProgID="Equation.DSMT4" ShapeID="_x0000_i1039" DrawAspect="Content" ObjectID="_1738163140" r:id="rId36"/>
        </w:object>
      </w:r>
      <w:r>
        <w:rPr>
          <w:rFonts w:ascii="仿宋_GB2312" w:eastAsia="仿宋_GB2312" w:hAnsi="Times New Roman" w:cs="Times New Roman" w:hint="eastAsia"/>
          <w:color w:val="auto"/>
          <w:kern w:val="2"/>
          <w:sz w:val="30"/>
          <w:szCs w:val="30"/>
        </w:rPr>
        <w:t>如下表。其中，</w:t>
      </w:r>
      <w:proofErr w:type="gramStart"/>
      <w:r>
        <w:rPr>
          <w:rFonts w:ascii="仿宋_GB2312" w:eastAsia="仿宋_GB2312" w:hAnsi="Times New Roman" w:cs="Times New Roman" w:hint="eastAsia"/>
          <w:color w:val="auto"/>
          <w:kern w:val="2"/>
          <w:sz w:val="30"/>
          <w:szCs w:val="30"/>
        </w:rPr>
        <w:t>投资级应符合</w:t>
      </w:r>
      <w:proofErr w:type="gramEnd"/>
      <w:r>
        <w:rPr>
          <w:rFonts w:ascii="仿宋_GB2312" w:eastAsia="仿宋_GB2312" w:hAnsi="Times New Roman" w:cs="Times New Roman" w:hint="eastAsia"/>
          <w:color w:val="auto"/>
          <w:kern w:val="2"/>
          <w:sz w:val="30"/>
          <w:szCs w:val="30"/>
        </w:rPr>
        <w:t>本办法附件25标准，不满足投资级标准的应认定为高收益。</w:t>
      </w:r>
    </w:p>
    <w:p w:rsidR="00426ABE" w:rsidRDefault="009B4E43">
      <w:pPr>
        <w:spacing w:line="480" w:lineRule="exact"/>
        <w:jc w:val="center"/>
        <w:rPr>
          <w:rFonts w:ascii="楷体_GB2312" w:eastAsia="楷体_GB2312"/>
          <w:sz w:val="30"/>
          <w:szCs w:val="30"/>
        </w:rPr>
      </w:pPr>
      <w:r>
        <w:rPr>
          <w:rFonts w:ascii="楷体_GB2312" w:eastAsia="楷体_GB2312" w:hint="eastAsia"/>
          <w:b/>
          <w:sz w:val="28"/>
          <w:szCs w:val="28"/>
        </w:rPr>
        <w:t>表1 风险权重</w:t>
      </w:r>
    </w:p>
    <w:tbl>
      <w:tblPr>
        <w:tblW w:w="7364" w:type="dxa"/>
        <w:tblInd w:w="8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14"/>
        <w:gridCol w:w="1429"/>
        <w:gridCol w:w="1421"/>
      </w:tblGrid>
      <w:tr w:rsidR="00426ABE">
        <w:trPr>
          <w:trHeight w:val="281"/>
        </w:trPr>
        <w:tc>
          <w:tcPr>
            <w:tcW w:w="4514" w:type="dxa"/>
            <w:vMerge w:val="restart"/>
            <w:vAlign w:val="center"/>
          </w:tcPr>
          <w:p w:rsidR="00426ABE" w:rsidRDefault="009B4E43">
            <w:pPr>
              <w:pStyle w:val="TableColumnHeading"/>
              <w:jc w:val="center"/>
              <w:rPr>
                <w:rFonts w:ascii="宋体" w:hAnsi="宋体" w:cs="Times New Roman"/>
                <w:b/>
                <w:kern w:val="2"/>
                <w:sz w:val="22"/>
                <w:szCs w:val="22"/>
              </w:rPr>
            </w:pPr>
            <w:r>
              <w:rPr>
                <w:rFonts w:ascii="宋体" w:hAnsi="宋体" w:cs="Times New Roman" w:hint="eastAsia"/>
                <w:b/>
                <w:kern w:val="2"/>
                <w:sz w:val="22"/>
                <w:szCs w:val="22"/>
              </w:rPr>
              <w:t>交易对手行业</w:t>
            </w:r>
          </w:p>
        </w:tc>
        <w:tc>
          <w:tcPr>
            <w:tcW w:w="2850" w:type="dxa"/>
            <w:gridSpan w:val="2"/>
            <w:vAlign w:val="center"/>
          </w:tcPr>
          <w:p w:rsidR="00426ABE" w:rsidRDefault="009B4E43">
            <w:pPr>
              <w:pStyle w:val="Default"/>
              <w:jc w:val="center"/>
              <w:rPr>
                <w:rFonts w:ascii="宋体" w:hAnsi="宋体" w:cs="Times New Roman"/>
                <w:b/>
                <w:color w:val="auto"/>
                <w:kern w:val="2"/>
                <w:sz w:val="22"/>
                <w:szCs w:val="22"/>
              </w:rPr>
            </w:pPr>
            <w:r>
              <w:rPr>
                <w:rFonts w:ascii="宋体" w:hAnsi="宋体" w:cs="Times New Roman" w:hint="eastAsia"/>
                <w:b/>
                <w:color w:val="auto"/>
                <w:kern w:val="2"/>
                <w:sz w:val="22"/>
                <w:szCs w:val="22"/>
              </w:rPr>
              <w:t>交易对手信用水平</w:t>
            </w:r>
          </w:p>
        </w:tc>
      </w:tr>
      <w:tr w:rsidR="00426ABE">
        <w:trPr>
          <w:trHeight w:val="281"/>
        </w:trPr>
        <w:tc>
          <w:tcPr>
            <w:tcW w:w="4514" w:type="dxa"/>
            <w:vMerge/>
            <w:vAlign w:val="center"/>
          </w:tcPr>
          <w:p w:rsidR="00426ABE" w:rsidRDefault="00426ABE">
            <w:pPr>
              <w:pStyle w:val="TableColumnHeading"/>
              <w:jc w:val="center"/>
              <w:rPr>
                <w:rFonts w:ascii="宋体" w:hAnsi="宋体" w:cs="Times New Roman"/>
                <w:b/>
                <w:kern w:val="2"/>
                <w:sz w:val="22"/>
                <w:szCs w:val="22"/>
              </w:rPr>
            </w:pPr>
          </w:p>
        </w:tc>
        <w:tc>
          <w:tcPr>
            <w:tcW w:w="1429" w:type="dxa"/>
            <w:vAlign w:val="center"/>
          </w:tcPr>
          <w:p w:rsidR="00426ABE" w:rsidRDefault="009B4E43">
            <w:pPr>
              <w:pStyle w:val="Default"/>
              <w:jc w:val="center"/>
              <w:rPr>
                <w:rFonts w:ascii="宋体" w:hAnsi="宋体" w:cs="Times New Roman"/>
                <w:b/>
                <w:color w:val="auto"/>
                <w:kern w:val="2"/>
                <w:sz w:val="22"/>
                <w:szCs w:val="22"/>
              </w:rPr>
            </w:pPr>
            <w:r>
              <w:rPr>
                <w:rFonts w:ascii="宋体" w:hAnsi="宋体" w:cs="Times New Roman" w:hint="eastAsia"/>
                <w:b/>
                <w:sz w:val="22"/>
                <w:szCs w:val="22"/>
              </w:rPr>
              <w:t>投资级</w:t>
            </w:r>
          </w:p>
        </w:tc>
        <w:tc>
          <w:tcPr>
            <w:tcW w:w="1421" w:type="dxa"/>
            <w:vAlign w:val="center"/>
          </w:tcPr>
          <w:p w:rsidR="00426ABE" w:rsidRDefault="009B4E43">
            <w:pPr>
              <w:pStyle w:val="Default"/>
              <w:jc w:val="center"/>
              <w:rPr>
                <w:rFonts w:ascii="宋体" w:hAnsi="宋体" w:cs="Times New Roman"/>
                <w:b/>
                <w:color w:val="auto"/>
                <w:kern w:val="2"/>
                <w:sz w:val="22"/>
                <w:szCs w:val="22"/>
              </w:rPr>
            </w:pPr>
            <w:r>
              <w:rPr>
                <w:rFonts w:ascii="宋体" w:hAnsi="宋体" w:cs="Times New Roman" w:hint="eastAsia"/>
                <w:b/>
                <w:sz w:val="22"/>
                <w:szCs w:val="22"/>
              </w:rPr>
              <w:t>高收益或未评级</w:t>
            </w:r>
          </w:p>
        </w:tc>
      </w:tr>
      <w:tr w:rsidR="00426ABE">
        <w:trPr>
          <w:trHeight w:val="90"/>
        </w:trPr>
        <w:tc>
          <w:tcPr>
            <w:tcW w:w="4514" w:type="dxa"/>
          </w:tcPr>
          <w:p w:rsidR="00426ABE" w:rsidRDefault="009B4E43">
            <w:pPr>
              <w:pStyle w:val="TableText"/>
              <w:ind w:firstLine="320"/>
              <w:rPr>
                <w:rFonts w:ascii="宋体" w:hAnsi="宋体" w:cs="Times New Roman"/>
                <w:bCs/>
                <w:kern w:val="2"/>
                <w:sz w:val="22"/>
                <w:szCs w:val="22"/>
              </w:rPr>
            </w:pPr>
            <w:r>
              <w:rPr>
                <w:rFonts w:ascii="宋体" w:hAnsi="宋体" w:cs="Times New Roman" w:hint="eastAsia"/>
                <w:bCs/>
                <w:kern w:val="2"/>
                <w:sz w:val="22"/>
                <w:szCs w:val="22"/>
              </w:rPr>
              <w:t>政府主权</w:t>
            </w:r>
            <w:r>
              <w:rPr>
                <w:rFonts w:ascii="宋体" w:hAnsi="宋体" w:cs="Times New Roman"/>
                <w:bCs/>
                <w:kern w:val="2"/>
                <w:sz w:val="22"/>
                <w:szCs w:val="22"/>
              </w:rPr>
              <w:t xml:space="preserve">, </w:t>
            </w:r>
            <w:r>
              <w:rPr>
                <w:rFonts w:ascii="宋体" w:hAnsi="宋体" w:cs="Times New Roman" w:hint="eastAsia"/>
                <w:bCs/>
                <w:kern w:val="2"/>
                <w:sz w:val="22"/>
                <w:szCs w:val="22"/>
              </w:rPr>
              <w:t>包括中央银行、多边开发银行、我国开发性金融机构和政策性银行</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0.5%</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2.0%</w:t>
            </w:r>
          </w:p>
        </w:tc>
      </w:tr>
      <w:tr w:rsidR="00426ABE">
        <w:trPr>
          <w:trHeight w:val="266"/>
        </w:trPr>
        <w:tc>
          <w:tcPr>
            <w:tcW w:w="4514" w:type="dxa"/>
          </w:tcPr>
          <w:p w:rsidR="00426ABE" w:rsidRDefault="009B4E43">
            <w:pPr>
              <w:pStyle w:val="Default"/>
              <w:ind w:firstLine="320"/>
              <w:rPr>
                <w:rFonts w:ascii="宋体" w:hAnsi="宋体" w:cs="Times New Roman"/>
                <w:bCs/>
                <w:color w:val="auto"/>
                <w:kern w:val="2"/>
                <w:sz w:val="22"/>
                <w:szCs w:val="22"/>
              </w:rPr>
            </w:pPr>
            <w:r>
              <w:rPr>
                <w:rFonts w:ascii="宋体" w:hAnsi="宋体" w:cs="Times New Roman" w:hint="eastAsia"/>
                <w:bCs/>
                <w:color w:val="auto"/>
                <w:kern w:val="2"/>
                <w:sz w:val="22"/>
                <w:szCs w:val="22"/>
              </w:rPr>
              <w:t>地方政府、公共部门实体、教育机构</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1.0%</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4.0%</w:t>
            </w:r>
          </w:p>
        </w:tc>
      </w:tr>
      <w:tr w:rsidR="00426ABE">
        <w:trPr>
          <w:trHeight w:val="266"/>
        </w:trPr>
        <w:tc>
          <w:tcPr>
            <w:tcW w:w="4514" w:type="dxa"/>
          </w:tcPr>
          <w:p w:rsidR="00426ABE" w:rsidRDefault="009B4E43">
            <w:pPr>
              <w:pStyle w:val="Default"/>
              <w:ind w:firstLine="320"/>
              <w:rPr>
                <w:rFonts w:ascii="宋体" w:hAnsi="宋体" w:cs="Times New Roman"/>
                <w:bCs/>
                <w:color w:val="auto"/>
                <w:kern w:val="2"/>
                <w:sz w:val="22"/>
                <w:szCs w:val="22"/>
              </w:rPr>
            </w:pPr>
            <w:r>
              <w:rPr>
                <w:rFonts w:ascii="宋体" w:hAnsi="宋体" w:cs="Times New Roman" w:hint="eastAsia"/>
                <w:bCs/>
                <w:color w:val="auto"/>
                <w:kern w:val="2"/>
                <w:sz w:val="22"/>
                <w:szCs w:val="22"/>
              </w:rPr>
              <w:t>金融机构</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5.0%</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12.0%</w:t>
            </w:r>
          </w:p>
        </w:tc>
      </w:tr>
      <w:tr w:rsidR="00426ABE">
        <w:trPr>
          <w:trHeight w:val="266"/>
        </w:trPr>
        <w:tc>
          <w:tcPr>
            <w:tcW w:w="4514" w:type="dxa"/>
          </w:tcPr>
          <w:p w:rsidR="00426ABE" w:rsidRDefault="009B4E43">
            <w:pPr>
              <w:pStyle w:val="Default"/>
              <w:ind w:firstLine="320"/>
              <w:rPr>
                <w:rFonts w:ascii="宋体" w:hAnsi="宋体" w:cs="Times New Roman"/>
                <w:bCs/>
                <w:color w:val="auto"/>
                <w:kern w:val="2"/>
                <w:sz w:val="22"/>
                <w:szCs w:val="22"/>
              </w:rPr>
            </w:pPr>
            <w:r>
              <w:rPr>
                <w:rFonts w:ascii="宋体" w:hAnsi="宋体" w:cs="Times New Roman" w:hint="eastAsia"/>
                <w:bCs/>
                <w:color w:val="auto"/>
                <w:kern w:val="2"/>
                <w:sz w:val="22"/>
                <w:szCs w:val="22"/>
              </w:rPr>
              <w:t>基础资源、能源、工业、农业、制造业、矿产和开采领域</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3.0%</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7.0%</w:t>
            </w:r>
          </w:p>
        </w:tc>
      </w:tr>
      <w:tr w:rsidR="00426ABE">
        <w:trPr>
          <w:trHeight w:val="266"/>
        </w:trPr>
        <w:tc>
          <w:tcPr>
            <w:tcW w:w="4514" w:type="dxa"/>
          </w:tcPr>
          <w:p w:rsidR="00426ABE" w:rsidRDefault="009B4E43">
            <w:pPr>
              <w:pStyle w:val="Default"/>
              <w:ind w:firstLine="320"/>
              <w:rPr>
                <w:rFonts w:ascii="宋体" w:hAnsi="宋体" w:cs="Times New Roman"/>
                <w:bCs/>
                <w:color w:val="auto"/>
                <w:kern w:val="2"/>
                <w:sz w:val="22"/>
                <w:szCs w:val="22"/>
              </w:rPr>
            </w:pPr>
            <w:r>
              <w:rPr>
                <w:rFonts w:ascii="宋体" w:hAnsi="宋体" w:cs="Times New Roman" w:hint="eastAsia"/>
                <w:bCs/>
                <w:color w:val="auto"/>
                <w:kern w:val="2"/>
                <w:sz w:val="22"/>
                <w:szCs w:val="22"/>
              </w:rPr>
              <w:t>消费品和服务</w:t>
            </w:r>
            <w:r>
              <w:rPr>
                <w:rFonts w:ascii="宋体" w:hAnsi="宋体" w:cs="Times New Roman"/>
                <w:bCs/>
                <w:color w:val="auto"/>
                <w:kern w:val="2"/>
                <w:sz w:val="22"/>
                <w:szCs w:val="22"/>
              </w:rPr>
              <w:t xml:space="preserve">, </w:t>
            </w:r>
            <w:r>
              <w:rPr>
                <w:rFonts w:ascii="宋体" w:hAnsi="宋体" w:cs="Times New Roman" w:hint="eastAsia"/>
                <w:bCs/>
                <w:color w:val="auto"/>
                <w:kern w:val="2"/>
                <w:sz w:val="22"/>
                <w:szCs w:val="22"/>
              </w:rPr>
              <w:t>交通运输和仓储</w:t>
            </w:r>
            <w:r>
              <w:rPr>
                <w:rFonts w:ascii="宋体" w:hAnsi="宋体" w:cs="Times New Roman"/>
                <w:bCs/>
                <w:color w:val="auto"/>
                <w:kern w:val="2"/>
                <w:sz w:val="22"/>
                <w:szCs w:val="22"/>
              </w:rPr>
              <w:t xml:space="preserve">, </w:t>
            </w:r>
            <w:r>
              <w:rPr>
                <w:rFonts w:ascii="宋体" w:hAnsi="宋体" w:cs="Times New Roman" w:hint="eastAsia"/>
                <w:bCs/>
                <w:color w:val="auto"/>
                <w:kern w:val="2"/>
                <w:sz w:val="22"/>
                <w:szCs w:val="22"/>
              </w:rPr>
              <w:t>公共管理及其支持性服务</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3.0%</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8.5%</w:t>
            </w:r>
          </w:p>
        </w:tc>
      </w:tr>
      <w:tr w:rsidR="00426ABE">
        <w:trPr>
          <w:trHeight w:val="266"/>
        </w:trPr>
        <w:tc>
          <w:tcPr>
            <w:tcW w:w="4514" w:type="dxa"/>
          </w:tcPr>
          <w:p w:rsidR="00426ABE" w:rsidRDefault="009B4E43">
            <w:pPr>
              <w:pStyle w:val="Default"/>
              <w:ind w:firstLine="320"/>
              <w:rPr>
                <w:rFonts w:ascii="宋体" w:hAnsi="宋体" w:cs="Times New Roman"/>
                <w:bCs/>
                <w:color w:val="auto"/>
                <w:kern w:val="2"/>
                <w:sz w:val="22"/>
                <w:szCs w:val="22"/>
              </w:rPr>
            </w:pPr>
            <w:r>
              <w:rPr>
                <w:rFonts w:ascii="宋体" w:hAnsi="宋体" w:cs="Times New Roman" w:hint="eastAsia"/>
                <w:bCs/>
                <w:color w:val="auto"/>
                <w:kern w:val="2"/>
                <w:sz w:val="22"/>
                <w:szCs w:val="22"/>
              </w:rPr>
              <w:t>信息科技</w:t>
            </w:r>
            <w:r>
              <w:rPr>
                <w:rFonts w:ascii="宋体" w:hAnsi="宋体" w:cs="Times New Roman"/>
                <w:bCs/>
                <w:color w:val="auto"/>
                <w:kern w:val="2"/>
                <w:sz w:val="22"/>
                <w:szCs w:val="22"/>
              </w:rPr>
              <w:t xml:space="preserve">, </w:t>
            </w:r>
            <w:r>
              <w:rPr>
                <w:rFonts w:ascii="宋体" w:hAnsi="宋体" w:cs="Times New Roman" w:hint="eastAsia"/>
                <w:bCs/>
                <w:color w:val="auto"/>
                <w:kern w:val="2"/>
                <w:sz w:val="22"/>
                <w:szCs w:val="22"/>
              </w:rPr>
              <w:t>通信行业</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2.0%</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5.5%</w:t>
            </w:r>
          </w:p>
        </w:tc>
      </w:tr>
      <w:tr w:rsidR="00426ABE">
        <w:trPr>
          <w:trHeight w:val="266"/>
        </w:trPr>
        <w:tc>
          <w:tcPr>
            <w:tcW w:w="4514" w:type="dxa"/>
          </w:tcPr>
          <w:p w:rsidR="00426ABE" w:rsidRDefault="009B4E43">
            <w:pPr>
              <w:pStyle w:val="Default"/>
              <w:ind w:firstLine="320"/>
              <w:rPr>
                <w:rFonts w:ascii="宋体" w:hAnsi="宋体" w:cs="Times New Roman"/>
                <w:bCs/>
                <w:color w:val="auto"/>
                <w:kern w:val="2"/>
                <w:sz w:val="22"/>
                <w:szCs w:val="22"/>
              </w:rPr>
            </w:pPr>
            <w:r>
              <w:rPr>
                <w:rFonts w:ascii="宋体" w:hAnsi="宋体" w:cs="Times New Roman" w:hint="eastAsia"/>
                <w:bCs/>
                <w:color w:val="auto"/>
                <w:kern w:val="2"/>
                <w:sz w:val="22"/>
                <w:szCs w:val="22"/>
              </w:rPr>
              <w:t>健康医疗</w:t>
            </w:r>
            <w:r>
              <w:rPr>
                <w:rFonts w:ascii="宋体" w:hAnsi="宋体" w:cs="Times New Roman"/>
                <w:bCs/>
                <w:color w:val="auto"/>
                <w:kern w:val="2"/>
                <w:sz w:val="22"/>
                <w:szCs w:val="22"/>
              </w:rPr>
              <w:t xml:space="preserve">, </w:t>
            </w:r>
            <w:r>
              <w:rPr>
                <w:rFonts w:ascii="宋体" w:hAnsi="宋体" w:cs="Times New Roman" w:hint="eastAsia"/>
                <w:bCs/>
                <w:color w:val="auto"/>
                <w:kern w:val="2"/>
                <w:sz w:val="22"/>
                <w:szCs w:val="22"/>
              </w:rPr>
              <w:t>公共服务</w:t>
            </w:r>
            <w:r>
              <w:rPr>
                <w:rFonts w:ascii="宋体" w:hAnsi="宋体" w:cs="Times New Roman"/>
                <w:bCs/>
                <w:color w:val="auto"/>
                <w:kern w:val="2"/>
                <w:sz w:val="22"/>
                <w:szCs w:val="22"/>
              </w:rPr>
              <w:t xml:space="preserve">, </w:t>
            </w:r>
            <w:r>
              <w:rPr>
                <w:rFonts w:ascii="宋体" w:hAnsi="宋体" w:cs="Times New Roman" w:hint="eastAsia"/>
                <w:bCs/>
                <w:color w:val="auto"/>
                <w:kern w:val="2"/>
                <w:sz w:val="22"/>
                <w:szCs w:val="22"/>
              </w:rPr>
              <w:t>专业技术领域</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1.5%</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5.0%</w:t>
            </w:r>
          </w:p>
        </w:tc>
      </w:tr>
      <w:tr w:rsidR="00426ABE">
        <w:trPr>
          <w:trHeight w:val="266"/>
        </w:trPr>
        <w:tc>
          <w:tcPr>
            <w:tcW w:w="4514" w:type="dxa"/>
          </w:tcPr>
          <w:p w:rsidR="00426ABE" w:rsidRDefault="009B4E43">
            <w:pPr>
              <w:pStyle w:val="Default"/>
              <w:ind w:firstLine="320"/>
              <w:rPr>
                <w:rFonts w:ascii="宋体" w:hAnsi="宋体" w:cs="Times New Roman"/>
                <w:bCs/>
                <w:color w:val="auto"/>
                <w:kern w:val="2"/>
                <w:sz w:val="22"/>
                <w:szCs w:val="22"/>
              </w:rPr>
            </w:pPr>
            <w:r>
              <w:rPr>
                <w:rFonts w:ascii="宋体" w:hAnsi="宋体" w:cs="Times New Roman" w:hint="eastAsia"/>
                <w:bCs/>
                <w:color w:val="auto"/>
                <w:kern w:val="2"/>
                <w:sz w:val="22"/>
                <w:szCs w:val="22"/>
              </w:rPr>
              <w:t>其他</w:t>
            </w:r>
          </w:p>
        </w:tc>
        <w:tc>
          <w:tcPr>
            <w:tcW w:w="1429"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5.0%</w:t>
            </w:r>
          </w:p>
        </w:tc>
        <w:tc>
          <w:tcPr>
            <w:tcW w:w="14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12.0%</w:t>
            </w:r>
          </w:p>
        </w:tc>
      </w:tr>
    </w:tbl>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若交易对手无合格外部评级，商业银行可将该交易对手的内部评级映射到外部评级，且此关系应得到银保监会的认可。</w:t>
      </w:r>
    </w:p>
    <w:p w:rsidR="00426ABE" w:rsidRDefault="009B4E43">
      <w:pPr>
        <w:pStyle w:val="2"/>
      </w:pPr>
      <w:r>
        <w:rPr>
          <w:rFonts w:hint="eastAsia"/>
        </w:rPr>
        <w:t>三、信用估值调整完整版风险加权资产的计量</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（一）商业银行应采用以下公式计算信用估值调整风险加权资产：</w:t>
      </w:r>
    </w:p>
    <w:p w:rsidR="00426ABE" w:rsidRDefault="009B4E43">
      <w:pPr>
        <w:pStyle w:val="Default"/>
        <w:ind w:firstLineChars="200" w:firstLine="600"/>
        <w:jc w:val="center"/>
        <w:rPr>
          <w:rFonts w:ascii="仿宋_GB2312" w:eastAsia="仿宋_GB2312" w:hAnsi="Times New Roman" w:cs="Times New Roman"/>
          <w:sz w:val="30"/>
          <w:szCs w:val="30"/>
        </w:rPr>
      </w:pPr>
      <w:r>
        <w:rPr>
          <w:rFonts w:ascii="仿宋_GB2312" w:eastAsia="仿宋_GB2312" w:hAnsi="Times New Roman" w:cs="Times New Roman" w:hint="eastAsia"/>
          <w:position w:val="-14"/>
          <w:sz w:val="30"/>
          <w:szCs w:val="30"/>
        </w:rPr>
        <w:object w:dxaOrig="4260" w:dyaOrig="420">
          <v:shape id="_x0000_i1040" type="#_x0000_t75" style="width:213.2pt;height:20.7pt" o:ole="">
            <v:imagedata r:id="rId37" o:title=""/>
          </v:shape>
          <o:OLEObject Type="Embed" ProgID="Equation.DSMT4" ShapeID="_x0000_i1040" DrawAspect="Content" ObjectID="_1738163141" r:id="rId38"/>
        </w:object>
      </w:r>
    </w:p>
    <w:p w:rsidR="00426ABE" w:rsidRDefault="009B4E43">
      <w:pPr>
        <w:pStyle w:val="Default"/>
        <w:ind w:firstLineChars="200" w:firstLine="600"/>
        <w:jc w:val="center"/>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8"/>
          <w:sz w:val="30"/>
          <w:szCs w:val="30"/>
        </w:rPr>
        <w:object w:dxaOrig="3540" w:dyaOrig="444">
          <v:shape id="_x0000_i1041" type="#_x0000_t75" style="width:177.4pt;height:22.1pt" o:ole="">
            <v:imagedata r:id="rId39" o:title=""/>
          </v:shape>
          <o:OLEObject Type="Embed" ProgID="Equation.DSMT4" ShapeID="_x0000_i1041" DrawAspect="Content" ObjectID="_1738163142" r:id="rId40"/>
        </w:object>
      </w:r>
      <w:r>
        <w:rPr>
          <w:rFonts w:ascii="仿宋_GB2312" w:eastAsia="仿宋_GB2312" w:hAnsi="Times New Roman" w:cs="Times New Roman" w:hint="eastAsia"/>
          <w:color w:val="auto"/>
          <w:kern w:val="2"/>
          <w:sz w:val="30"/>
          <w:szCs w:val="30"/>
        </w:rPr>
        <w:t xml:space="preserve"> </w: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t>其中：</w:t>
      </w:r>
      <w:r>
        <w:rPr>
          <w:rFonts w:ascii="仿宋_GB2312" w:eastAsia="仿宋_GB2312" w:hint="eastAsia"/>
          <w:position w:val="-12"/>
          <w:sz w:val="30"/>
          <w:szCs w:val="30"/>
        </w:rPr>
        <w:object w:dxaOrig="804" w:dyaOrig="360">
          <v:shape id="_x0000_i1042" type="#_x0000_t75" style="width:40pt;height:17.9pt" o:ole="">
            <v:imagedata r:id="rId41" o:title=""/>
          </v:shape>
          <o:OLEObject Type="Embed" ProgID="Equation.DSMT4" ShapeID="_x0000_i1042" DrawAspect="Content" ObjectID="_1738163143" r:id="rId42"/>
        </w:object>
      </w:r>
      <w:r>
        <w:rPr>
          <w:rFonts w:ascii="仿宋_GB2312" w:eastAsia="仿宋_GB2312" w:hint="eastAsia"/>
          <w:sz w:val="30"/>
          <w:szCs w:val="30"/>
        </w:rPr>
        <w:t>为简化</w:t>
      </w:r>
      <w:proofErr w:type="gramStart"/>
      <w:r>
        <w:rPr>
          <w:rFonts w:ascii="仿宋_GB2312" w:eastAsia="仿宋_GB2312" w:hint="eastAsia"/>
          <w:sz w:val="30"/>
          <w:szCs w:val="30"/>
        </w:rPr>
        <w:t>版风险</w:t>
      </w:r>
      <w:proofErr w:type="gramEnd"/>
      <w:r>
        <w:rPr>
          <w:rFonts w:ascii="仿宋_GB2312" w:eastAsia="仿宋_GB2312" w:hint="eastAsia"/>
          <w:sz w:val="30"/>
          <w:szCs w:val="30"/>
        </w:rPr>
        <w:t>资本要求，计算方式详见本附件第二部分简化</w:t>
      </w:r>
      <w:proofErr w:type="gramStart"/>
      <w:r>
        <w:rPr>
          <w:rFonts w:ascii="仿宋_GB2312" w:eastAsia="仿宋_GB2312" w:hint="eastAsia"/>
          <w:sz w:val="30"/>
          <w:szCs w:val="30"/>
        </w:rPr>
        <w:t>版风险</w:t>
      </w:r>
      <w:proofErr w:type="gramEnd"/>
      <w:r>
        <w:rPr>
          <w:rFonts w:ascii="仿宋_GB2312" w:eastAsia="仿宋_GB2312" w:hint="eastAsia"/>
          <w:sz w:val="30"/>
          <w:szCs w:val="30"/>
        </w:rPr>
        <w:t>加权资产的计量。</w:t>
      </w:r>
    </w:p>
    <w:p w:rsidR="00426ABE" w:rsidRDefault="009B4E43">
      <w:pPr>
        <w:ind w:firstLineChars="200" w:firstLine="600"/>
        <w:rPr>
          <w:rFonts w:ascii="仿宋_GB2312" w:eastAsia="仿宋_GB2312"/>
          <w:sz w:val="30"/>
          <w:szCs w:val="30"/>
        </w:rPr>
      </w:pPr>
      <w:r>
        <w:rPr>
          <w:rFonts w:ascii="仿宋_GB2312" w:eastAsia="仿宋_GB2312" w:hint="eastAsia"/>
          <w:sz w:val="30"/>
          <w:szCs w:val="30"/>
        </w:rPr>
        <w:t>（二）认可合格对冲的部分(</w:t>
      </w:r>
      <w:bookmarkStart w:id="1" w:name="OLE_LINK4"/>
      <w:r>
        <w:rPr>
          <w:rFonts w:ascii="仿宋_GB2312" w:eastAsia="仿宋_GB2312" w:hint="eastAsia"/>
          <w:position w:val="-18"/>
          <w:sz w:val="30"/>
          <w:szCs w:val="30"/>
        </w:rPr>
        <w:object w:dxaOrig="900" w:dyaOrig="444">
          <v:shape id="_x0000_i1043" type="#_x0000_t75" style="width:45.2pt;height:22.1pt" o:ole="">
            <v:imagedata r:id="rId43" o:title=""/>
          </v:shape>
          <o:OLEObject Type="Embed" ProgID="Equation.DSMT4" ShapeID="_x0000_i1043" DrawAspect="Content" ObjectID="_1738163144" r:id="rId44"/>
        </w:object>
      </w:r>
      <w:bookmarkEnd w:id="1"/>
      <w:r>
        <w:rPr>
          <w:rFonts w:ascii="仿宋_GB2312" w:eastAsia="仿宋_GB2312" w:hint="eastAsia"/>
          <w:sz w:val="30"/>
          <w:szCs w:val="30"/>
        </w:rPr>
        <w:t>)计算公式如下：</w:t>
      </w:r>
    </w:p>
    <w:p w:rsidR="00426ABE" w:rsidRDefault="009B4E43">
      <w:pPr>
        <w:jc w:val="left"/>
        <w:rPr>
          <w:rFonts w:ascii="仿宋_GB2312" w:eastAsia="仿宋_GB2312"/>
          <w:sz w:val="30"/>
          <w:szCs w:val="30"/>
        </w:rPr>
      </w:pPr>
      <w:r>
        <w:rPr>
          <w:rFonts w:ascii="仿宋_GB2312" w:eastAsia="仿宋_GB2312" w:hint="eastAsia"/>
          <w:position w:val="-32"/>
          <w:sz w:val="30"/>
          <w:szCs w:val="30"/>
        </w:rPr>
        <w:object w:dxaOrig="8364" w:dyaOrig="840">
          <v:shape id="_x0000_i1044" type="#_x0000_t75" style="width:418.35pt;height:41.9pt" o:ole="">
            <v:imagedata r:id="rId45" o:title=""/>
          </v:shape>
          <o:OLEObject Type="Embed" ProgID="Equation.DSMT4" ShapeID="_x0000_i1044" DrawAspect="Content" ObjectID="_1738163145" r:id="rId46"/>
        </w:object>
      </w:r>
      <w:r>
        <w:rPr>
          <w:rFonts w:ascii="仿宋_GB2312" w:eastAsia="仿宋_GB2312" w:hint="eastAsia"/>
          <w:sz w:val="30"/>
          <w:szCs w:val="30"/>
        </w:rPr>
        <w:t>其中：</w:t>
      </w:r>
      <w:r>
        <w:rPr>
          <w:rFonts w:ascii="仿宋_GB2312" w:eastAsia="仿宋_GB2312" w:hint="eastAsia"/>
          <w:position w:val="-12"/>
          <w:sz w:val="30"/>
          <w:szCs w:val="30"/>
        </w:rPr>
        <w:object w:dxaOrig="924" w:dyaOrig="384">
          <v:shape id="_x0000_i1045" type="#_x0000_t75" style="width:46.1pt;height:19.3pt" o:ole="">
            <v:imagedata r:id="rId47" o:title=""/>
          </v:shape>
          <o:OLEObject Type="Embed" ProgID="Equation.DSMT4" ShapeID="_x0000_i1045" DrawAspect="Content" ObjectID="_1738163146" r:id="rId48"/>
        </w:object>
      </w:r>
      <w:r>
        <w:rPr>
          <w:rFonts w:ascii="仿宋_GB2312" w:eastAsia="仿宋_GB2312" w:hint="eastAsia"/>
          <w:sz w:val="30"/>
          <w:szCs w:val="30"/>
        </w:rPr>
        <w:t>是单独考虑交易对手c的信用估值调整资本要求，公式详见简化</w:t>
      </w:r>
      <w:proofErr w:type="gramStart"/>
      <w:r>
        <w:rPr>
          <w:rFonts w:ascii="仿宋_GB2312" w:eastAsia="仿宋_GB2312" w:hint="eastAsia"/>
          <w:sz w:val="30"/>
          <w:szCs w:val="30"/>
        </w:rPr>
        <w:t>版资本</w:t>
      </w:r>
      <w:proofErr w:type="gramEnd"/>
      <w:r>
        <w:rPr>
          <w:rFonts w:ascii="仿宋_GB2312" w:eastAsia="仿宋_GB2312" w:hint="eastAsia"/>
          <w:sz w:val="30"/>
          <w:szCs w:val="30"/>
        </w:rPr>
        <w:t>要求的计量。</w:t>
      </w:r>
    </w:p>
    <w:p w:rsidR="00426ABE" w:rsidRDefault="009B4E43">
      <w:pPr>
        <w:pStyle w:val="Default"/>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position w:val="-12"/>
          <w:sz w:val="30"/>
          <w:szCs w:val="30"/>
        </w:rPr>
        <w:object w:dxaOrig="276" w:dyaOrig="324">
          <v:shape id="_x0000_i1046" type="#_x0000_t75" style="width:14.1pt;height:16.45pt" o:ole="">
            <v:imagedata r:id="rId49" o:title=""/>
          </v:shape>
          <o:OLEObject Type="Embed" ProgID="Equation.DSMT4" ShapeID="_x0000_i1046" DrawAspect="Content" ObjectID="_1738163147" r:id="rId50"/>
        </w:object>
      </w:r>
      <w:r>
        <w:rPr>
          <w:rFonts w:ascii="仿宋_GB2312" w:eastAsia="仿宋_GB2312" w:hAnsi="Times New Roman" w:cs="Times New Roman" w:hint="eastAsia"/>
          <w:color w:val="auto"/>
          <w:kern w:val="2"/>
          <w:sz w:val="30"/>
          <w:szCs w:val="30"/>
        </w:rPr>
        <w:t>=0.5。</w: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t>（三）</w:t>
      </w:r>
      <w:r>
        <w:rPr>
          <w:rFonts w:ascii="仿宋_GB2312" w:eastAsia="仿宋_GB2312" w:hint="eastAsia"/>
          <w:position w:val="-12"/>
          <w:sz w:val="30"/>
          <w:szCs w:val="30"/>
        </w:rPr>
        <w:object w:dxaOrig="720" w:dyaOrig="384">
          <v:shape id="_x0000_i1047" type="#_x0000_t75" style="width:36.25pt;height:19.3pt" o:ole="">
            <v:imagedata r:id="rId51" o:title=""/>
          </v:shape>
          <o:OLEObject Type="Embed" ProgID="Equation.DSMT4" ShapeID="_x0000_i1047" DrawAspect="Content" ObjectID="_1738163148" r:id="rId52"/>
        </w:object>
      </w:r>
      <w:r>
        <w:rPr>
          <w:rFonts w:ascii="仿宋_GB2312" w:eastAsia="仿宋_GB2312" w:hint="eastAsia"/>
          <w:sz w:val="30"/>
          <w:szCs w:val="30"/>
        </w:rPr>
        <w:t>表示因银行使用信用利差风险的单名对冲工具，导致交易对手c的CVA风险降低，计算公式如下：</w:t>
      </w:r>
    </w:p>
    <w:p w:rsidR="00426ABE" w:rsidRDefault="009B4E43" w:rsidP="00943A8A">
      <w:pPr>
        <w:jc w:val="center"/>
        <w:rPr>
          <w:rFonts w:ascii="仿宋_GB2312" w:eastAsia="仿宋_GB2312"/>
          <w:sz w:val="30"/>
          <w:szCs w:val="30"/>
        </w:rPr>
      </w:pPr>
      <w:r>
        <w:rPr>
          <w:rFonts w:ascii="仿宋_GB2312" w:eastAsia="仿宋_GB2312" w:hint="eastAsia"/>
          <w:position w:val="-28"/>
          <w:sz w:val="30"/>
          <w:szCs w:val="30"/>
        </w:rPr>
        <w:object w:dxaOrig="3900" w:dyaOrig="540">
          <v:shape id="_x0000_i1048" type="#_x0000_t75" style="width:195.3pt;height:26.8pt" o:ole="">
            <v:imagedata r:id="rId53" o:title=""/>
          </v:shape>
          <o:OLEObject Type="Embed" ProgID="Equation.DSMT4" ShapeID="_x0000_i1048" DrawAspect="Content" ObjectID="_1738163149" r:id="rId54"/>
        </w:objec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426ABE" w:rsidRDefault="009B4E43">
      <w:pPr>
        <w:ind w:firstLineChars="200" w:firstLine="600"/>
        <w:rPr>
          <w:rFonts w:ascii="仿宋_GB2312" w:eastAsia="仿宋_GB2312"/>
          <w:sz w:val="30"/>
          <w:szCs w:val="30"/>
        </w:rPr>
      </w:pPr>
      <w:r>
        <w:rPr>
          <w:rFonts w:ascii="仿宋_GB2312" w:eastAsia="仿宋_GB2312" w:hint="eastAsia"/>
          <w:sz w:val="30"/>
          <w:szCs w:val="30"/>
        </w:rPr>
        <w:object w:dxaOrig="444" w:dyaOrig="396">
          <v:shape id="_x0000_i1049" type="#_x0000_t75" style="width:22.1pt;height:19.75pt" o:ole="">
            <v:imagedata r:id="rId55" o:title=""/>
          </v:shape>
          <o:OLEObject Type="Embed" ProgID="Equation.DSMT4" ShapeID="_x0000_i1049" DrawAspect="Content" ObjectID="_1738163150" r:id="rId56"/>
        </w:object>
      </w:r>
      <w:r>
        <w:rPr>
          <w:rFonts w:ascii="仿宋_GB2312" w:eastAsia="仿宋_GB2312" w:hint="eastAsia"/>
          <w:sz w:val="30"/>
          <w:szCs w:val="30"/>
        </w:rPr>
        <w:t>表示交易对手c的信用利差与单名信用违约互换套</w:t>
      </w:r>
      <w:proofErr w:type="gramStart"/>
      <w:r>
        <w:rPr>
          <w:rFonts w:ascii="仿宋_GB2312" w:eastAsia="仿宋_GB2312" w:hint="eastAsia"/>
          <w:sz w:val="30"/>
          <w:szCs w:val="30"/>
        </w:rPr>
        <w:t>期工具</w:t>
      </w:r>
      <w:proofErr w:type="gramEnd"/>
      <w:r>
        <w:rPr>
          <w:rFonts w:ascii="仿宋_GB2312" w:eastAsia="仿宋_GB2312" w:hint="eastAsia"/>
          <w:sz w:val="30"/>
          <w:szCs w:val="30"/>
        </w:rPr>
        <w:t>h的信用利差之间的相关系数，详见表2。</w:t>
      </w:r>
    </w:p>
    <w:p w:rsidR="00426ABE" w:rsidRDefault="009B4E43">
      <w:pPr>
        <w:ind w:firstLineChars="200" w:firstLine="600"/>
        <w:rPr>
          <w:rFonts w:ascii="仿宋_GB2312" w:eastAsia="仿宋_GB2312"/>
          <w:sz w:val="30"/>
          <w:szCs w:val="30"/>
        </w:rPr>
      </w:pPr>
      <w:r>
        <w:rPr>
          <w:rFonts w:ascii="仿宋_GB2312" w:eastAsia="仿宋_GB2312" w:hint="eastAsia"/>
          <w:sz w:val="30"/>
          <w:szCs w:val="30"/>
        </w:rPr>
        <w:object w:dxaOrig="684" w:dyaOrig="456">
          <v:shape id="_x0000_i1050" type="#_x0000_t75" style="width:34.35pt;height:23.05pt" o:ole="">
            <v:imagedata r:id="rId57" o:title=""/>
          </v:shape>
          <o:OLEObject Type="Embed" ProgID="Equation.DSMT4" ShapeID="_x0000_i1050" DrawAspect="Content" ObjectID="_1738163151" r:id="rId58"/>
        </w:object>
      </w:r>
      <w:r>
        <w:rPr>
          <w:rFonts w:ascii="仿宋_GB2312" w:eastAsia="仿宋_GB2312" w:hint="eastAsia"/>
          <w:sz w:val="30"/>
          <w:szCs w:val="30"/>
        </w:rPr>
        <w:t>是单名信用违约互换套</w:t>
      </w:r>
      <w:proofErr w:type="gramStart"/>
      <w:r>
        <w:rPr>
          <w:rFonts w:ascii="仿宋_GB2312" w:eastAsia="仿宋_GB2312" w:hint="eastAsia"/>
          <w:sz w:val="30"/>
          <w:szCs w:val="30"/>
        </w:rPr>
        <w:t>期工具</w:t>
      </w:r>
      <w:proofErr w:type="gramEnd"/>
      <w:r>
        <w:rPr>
          <w:rFonts w:ascii="仿宋_GB2312" w:eastAsia="仿宋_GB2312" w:hint="eastAsia"/>
          <w:sz w:val="30"/>
          <w:szCs w:val="30"/>
        </w:rPr>
        <w:t>h的剩余期限。</w:t>
      </w:r>
    </w:p>
    <w:p w:rsidR="00426ABE" w:rsidRDefault="009B4E43">
      <w:pPr>
        <w:ind w:firstLineChars="200" w:firstLine="600"/>
        <w:rPr>
          <w:rFonts w:ascii="仿宋_GB2312" w:eastAsia="仿宋_GB2312"/>
          <w:sz w:val="30"/>
          <w:szCs w:val="30"/>
        </w:rPr>
      </w:pPr>
      <w:r>
        <w:rPr>
          <w:rFonts w:ascii="仿宋_GB2312" w:eastAsia="仿宋_GB2312" w:hint="eastAsia"/>
          <w:sz w:val="30"/>
          <w:szCs w:val="30"/>
        </w:rPr>
        <w:object w:dxaOrig="576" w:dyaOrig="456">
          <v:shape id="_x0000_i1051" type="#_x0000_t75" style="width:28.7pt;height:23.05pt" o:ole="">
            <v:imagedata r:id="rId59" o:title=""/>
          </v:shape>
          <o:OLEObject Type="Embed" ProgID="Equation.DSMT4" ShapeID="_x0000_i1051" DrawAspect="Content" ObjectID="_1738163152" r:id="rId60"/>
        </w:object>
      </w:r>
      <w:r>
        <w:rPr>
          <w:rFonts w:ascii="仿宋_GB2312" w:eastAsia="仿宋_GB2312" w:hint="eastAsia"/>
          <w:sz w:val="30"/>
          <w:szCs w:val="30"/>
        </w:rPr>
        <w:t>是单名信用违约互换套</w:t>
      </w:r>
      <w:proofErr w:type="gramStart"/>
      <w:r>
        <w:rPr>
          <w:rFonts w:ascii="仿宋_GB2312" w:eastAsia="仿宋_GB2312" w:hint="eastAsia"/>
          <w:sz w:val="30"/>
          <w:szCs w:val="30"/>
        </w:rPr>
        <w:t>期工具</w:t>
      </w:r>
      <w:proofErr w:type="gramEnd"/>
      <w:r>
        <w:rPr>
          <w:rFonts w:ascii="仿宋_GB2312" w:eastAsia="仿宋_GB2312" w:hint="eastAsia"/>
          <w:sz w:val="30"/>
          <w:szCs w:val="30"/>
        </w:rPr>
        <w:t>h的名义本金。对于单名或有信用违约互换, 名义金额根据参考资产组合或工具的当前市场价值确定。</w:t>
      </w:r>
    </w:p>
    <w:p w:rsidR="00426ABE" w:rsidRDefault="009B4E43">
      <w:pPr>
        <w:ind w:firstLineChars="200" w:firstLine="600"/>
        <w:rPr>
          <w:rFonts w:ascii="仿宋_GB2312" w:eastAsia="仿宋_GB2312"/>
          <w:sz w:val="30"/>
          <w:szCs w:val="30"/>
        </w:rPr>
      </w:pPr>
      <w:r>
        <w:rPr>
          <w:rFonts w:ascii="仿宋_GB2312" w:eastAsia="仿宋_GB2312" w:hint="eastAsia"/>
          <w:sz w:val="30"/>
          <w:szCs w:val="30"/>
        </w:rPr>
        <w:object w:dxaOrig="816" w:dyaOrig="456">
          <v:shape id="_x0000_i1052" type="#_x0000_t75" style="width:40.95pt;height:23.05pt" o:ole="">
            <v:imagedata r:id="rId61" o:title=""/>
          </v:shape>
          <o:OLEObject Type="Embed" ProgID="Equation.DSMT4" ShapeID="_x0000_i1052" DrawAspect="Content" ObjectID="_1738163153" r:id="rId62"/>
        </w:object>
      </w:r>
      <w:r>
        <w:rPr>
          <w:rFonts w:ascii="仿宋_GB2312" w:eastAsia="仿宋_GB2312" w:hint="eastAsia"/>
          <w:sz w:val="30"/>
          <w:szCs w:val="30"/>
        </w:rPr>
        <w:t>是监管折现因子, 公式为</w:t>
      </w:r>
      <w:r>
        <w:rPr>
          <w:rFonts w:ascii="仿宋_GB2312" w:eastAsia="仿宋_GB2312" w:hint="eastAsia"/>
          <w:position w:val="-30"/>
          <w:sz w:val="30"/>
          <w:szCs w:val="30"/>
        </w:rPr>
        <w:object w:dxaOrig="1176" w:dyaOrig="744">
          <v:shape id="_x0000_i1053" type="#_x0000_t75" style="width:58.8pt;height:37.2pt" o:ole="">
            <v:imagedata r:id="rId63" o:title=""/>
          </v:shape>
          <o:OLEObject Type="Embed" ProgID="Equation.DSMT4" ShapeID="_x0000_i1053" DrawAspect="Content" ObjectID="_1738163154" r:id="rId64"/>
        </w:object>
      </w:r>
      <w:r>
        <w:rPr>
          <w:rFonts w:ascii="仿宋_GB2312" w:eastAsia="仿宋_GB2312" w:hint="eastAsia"/>
          <w:sz w:val="30"/>
          <w:szCs w:val="30"/>
        </w:rPr>
        <w:t xml:space="preserve">。 </w:t>
      </w:r>
    </w:p>
    <w:p w:rsidR="00426ABE" w:rsidRDefault="009B4E43">
      <w:pPr>
        <w:ind w:firstLineChars="200" w:firstLine="600"/>
        <w:rPr>
          <w:rFonts w:ascii="仿宋_GB2312" w:eastAsia="仿宋_GB2312"/>
          <w:sz w:val="30"/>
          <w:szCs w:val="30"/>
        </w:rPr>
      </w:pPr>
      <w:r>
        <w:rPr>
          <w:rFonts w:ascii="仿宋_GB2312" w:eastAsia="仿宋_GB2312" w:hint="eastAsia"/>
          <w:position w:val="-16"/>
          <w:sz w:val="30"/>
          <w:szCs w:val="30"/>
        </w:rPr>
        <w:object w:dxaOrig="660" w:dyaOrig="420">
          <v:shape id="_x0000_i1054" type="#_x0000_t75" style="width:32.95pt;height:20.7pt" o:ole="">
            <v:imagedata r:id="rId65" o:title=""/>
          </v:shape>
          <o:OLEObject Type="Embed" ProgID="Equation.DSMT4" ShapeID="_x0000_i1054" DrawAspect="Content" ObjectID="_1738163155" r:id="rId66"/>
        </w:object>
      </w:r>
      <w:r>
        <w:rPr>
          <w:rFonts w:ascii="仿宋_GB2312" w:eastAsia="仿宋_GB2312" w:hint="eastAsia"/>
          <w:sz w:val="30"/>
          <w:szCs w:val="30"/>
        </w:rPr>
        <w:t>是单名信用违约互换套</w:t>
      </w:r>
      <w:proofErr w:type="gramStart"/>
      <w:r>
        <w:rPr>
          <w:rFonts w:ascii="仿宋_GB2312" w:eastAsia="仿宋_GB2312" w:hint="eastAsia"/>
          <w:sz w:val="30"/>
          <w:szCs w:val="30"/>
        </w:rPr>
        <w:t>期工具</w:t>
      </w:r>
      <w:proofErr w:type="gramEnd"/>
      <w:r>
        <w:rPr>
          <w:rFonts w:ascii="仿宋_GB2312" w:eastAsia="仿宋_GB2312" w:hint="eastAsia"/>
          <w:sz w:val="30"/>
          <w:szCs w:val="30"/>
        </w:rPr>
        <w:t>h的监管风险权重，基于所在行业和信用水平，详见表1。</w: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t>交易对手与单名信用违约互换套</w:t>
      </w:r>
      <w:proofErr w:type="gramStart"/>
      <w:r>
        <w:rPr>
          <w:rFonts w:ascii="仿宋_GB2312" w:eastAsia="仿宋_GB2312" w:hint="eastAsia"/>
          <w:sz w:val="30"/>
          <w:szCs w:val="30"/>
        </w:rPr>
        <w:t>期工具</w:t>
      </w:r>
      <w:proofErr w:type="gramEnd"/>
      <w:r>
        <w:rPr>
          <w:rFonts w:ascii="仿宋_GB2312" w:eastAsia="仿宋_GB2312" w:hint="eastAsia"/>
          <w:sz w:val="30"/>
          <w:szCs w:val="30"/>
        </w:rPr>
        <w:t>的信用利差相关系数列表如下：</w:t>
      </w:r>
    </w:p>
    <w:p w:rsidR="00426ABE" w:rsidRDefault="009B4E43">
      <w:pPr>
        <w:spacing w:line="480" w:lineRule="exact"/>
        <w:jc w:val="center"/>
        <w:rPr>
          <w:rFonts w:eastAsia="楷体_GB2312"/>
          <w:b/>
          <w:sz w:val="28"/>
          <w:szCs w:val="28"/>
        </w:rPr>
      </w:pPr>
      <w:r>
        <w:rPr>
          <w:rFonts w:ascii="楷体_GB2312" w:eastAsia="楷体_GB2312" w:hint="eastAsia"/>
          <w:b/>
          <w:sz w:val="28"/>
          <w:szCs w:val="28"/>
        </w:rPr>
        <w:t xml:space="preserve">表2 </w:t>
      </w:r>
      <w:r>
        <w:rPr>
          <w:rFonts w:eastAsia="楷体_GB2312"/>
          <w:b/>
          <w:sz w:val="28"/>
          <w:szCs w:val="28"/>
        </w:rPr>
        <w:t>交易对手与单名信用违约互换套</w:t>
      </w:r>
      <w:proofErr w:type="gramStart"/>
      <w:r>
        <w:rPr>
          <w:rFonts w:eastAsia="楷体_GB2312"/>
          <w:b/>
          <w:sz w:val="28"/>
          <w:szCs w:val="28"/>
        </w:rPr>
        <w:t>期工具</w:t>
      </w:r>
      <w:proofErr w:type="gramEnd"/>
      <w:r>
        <w:rPr>
          <w:rFonts w:eastAsia="楷体_GB2312"/>
          <w:b/>
          <w:sz w:val="28"/>
          <w:szCs w:val="28"/>
        </w:rPr>
        <w:t>的信用利差相关系数</w:t>
      </w:r>
    </w:p>
    <w:tbl>
      <w:tblPr>
        <w:tblW w:w="6435" w:type="dxa"/>
        <w:tblInd w:w="8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14"/>
        <w:gridCol w:w="1921"/>
      </w:tblGrid>
      <w:tr w:rsidR="00426ABE">
        <w:trPr>
          <w:trHeight w:val="90"/>
        </w:trPr>
        <w:tc>
          <w:tcPr>
            <w:tcW w:w="4514" w:type="dxa"/>
            <w:vAlign w:val="center"/>
          </w:tcPr>
          <w:p w:rsidR="00426ABE" w:rsidRDefault="009B4E43">
            <w:pPr>
              <w:pStyle w:val="TableText"/>
              <w:jc w:val="center"/>
              <w:rPr>
                <w:rFonts w:ascii="宋体" w:hAnsi="宋体" w:cs="Times New Roman"/>
                <w:b/>
                <w:kern w:val="2"/>
                <w:sz w:val="22"/>
                <w:szCs w:val="22"/>
              </w:rPr>
            </w:pPr>
            <w:r>
              <w:rPr>
                <w:rFonts w:ascii="宋体" w:hAnsi="宋体" w:cs="Times New Roman"/>
                <w:b/>
                <w:kern w:val="2"/>
                <w:sz w:val="22"/>
                <w:szCs w:val="22"/>
              </w:rPr>
              <w:t>单名信用违约互换套</w:t>
            </w:r>
            <w:proofErr w:type="gramStart"/>
            <w:r>
              <w:rPr>
                <w:rFonts w:ascii="宋体" w:hAnsi="宋体" w:cs="Times New Roman"/>
                <w:b/>
                <w:kern w:val="2"/>
                <w:sz w:val="22"/>
                <w:szCs w:val="22"/>
              </w:rPr>
              <w:t>期工具</w:t>
            </w:r>
            <w:proofErr w:type="gramEnd"/>
          </w:p>
        </w:tc>
        <w:tc>
          <w:tcPr>
            <w:tcW w:w="1921" w:type="dxa"/>
            <w:vAlign w:val="center"/>
          </w:tcPr>
          <w:p w:rsidR="00426ABE" w:rsidRDefault="009B4E43">
            <w:pPr>
              <w:pStyle w:val="Default"/>
              <w:jc w:val="center"/>
              <w:rPr>
                <w:rFonts w:ascii="宋体" w:hAnsi="宋体" w:cs="Times New Roman"/>
                <w:b/>
                <w:color w:val="auto"/>
                <w:kern w:val="2"/>
                <w:sz w:val="22"/>
                <w:szCs w:val="22"/>
              </w:rPr>
            </w:pPr>
            <w:r>
              <w:rPr>
                <w:rFonts w:ascii="宋体" w:hAnsi="宋体" w:cs="Times New Roman"/>
                <w:b/>
                <w:color w:val="auto"/>
                <w:kern w:val="2"/>
                <w:sz w:val="22"/>
                <w:szCs w:val="22"/>
              </w:rPr>
              <w:t>相关系数</w:t>
            </w:r>
            <w:r>
              <w:rPr>
                <w:rFonts w:ascii="宋体" w:hAnsi="宋体" w:cs="Times New Roman"/>
                <w:position w:val="-16"/>
                <w:sz w:val="22"/>
                <w:szCs w:val="22"/>
              </w:rPr>
              <w:object w:dxaOrig="444" w:dyaOrig="396">
                <v:shape id="_x0000_i1055" type="#_x0000_t75" style="width:22.1pt;height:19.75pt" o:ole="">
                  <v:imagedata r:id="rId67" o:title=""/>
                </v:shape>
                <o:OLEObject Type="Embed" ProgID="Equation.DSMT4" ShapeID="_x0000_i1055" DrawAspect="Content" ObjectID="_1738163156" r:id="rId68"/>
              </w:object>
            </w:r>
            <w:r>
              <w:rPr>
                <w:rFonts w:ascii="宋体" w:hAnsi="宋体" w:cs="Times New Roman"/>
                <w:b/>
                <w:color w:val="auto"/>
                <w:sz w:val="22"/>
                <w:szCs w:val="22"/>
                <w:vertAlign w:val="subscript"/>
              </w:rPr>
              <w:t xml:space="preserve"> </w:t>
            </w:r>
          </w:p>
        </w:tc>
      </w:tr>
      <w:tr w:rsidR="00426ABE">
        <w:trPr>
          <w:trHeight w:val="266"/>
        </w:trPr>
        <w:tc>
          <w:tcPr>
            <w:tcW w:w="4514" w:type="dxa"/>
          </w:tcPr>
          <w:p w:rsidR="00426ABE" w:rsidRDefault="009B4E43">
            <w:pPr>
              <w:pStyle w:val="Default"/>
              <w:jc w:val="both"/>
              <w:rPr>
                <w:rFonts w:ascii="宋体" w:hAnsi="宋体" w:cs="Times New Roman"/>
                <w:bCs/>
                <w:color w:val="auto"/>
                <w:kern w:val="2"/>
                <w:sz w:val="22"/>
                <w:szCs w:val="22"/>
              </w:rPr>
            </w:pPr>
            <w:r>
              <w:rPr>
                <w:rFonts w:ascii="宋体" w:hAnsi="宋体" w:cs="Times New Roman"/>
                <w:bCs/>
                <w:color w:val="auto"/>
                <w:kern w:val="2"/>
                <w:sz w:val="22"/>
                <w:szCs w:val="22"/>
              </w:rPr>
              <w:t>直接基于相同交易对手</w:t>
            </w:r>
          </w:p>
        </w:tc>
        <w:tc>
          <w:tcPr>
            <w:tcW w:w="19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100%</w:t>
            </w:r>
          </w:p>
        </w:tc>
      </w:tr>
      <w:tr w:rsidR="00426ABE">
        <w:trPr>
          <w:trHeight w:val="266"/>
        </w:trPr>
        <w:tc>
          <w:tcPr>
            <w:tcW w:w="4514" w:type="dxa"/>
          </w:tcPr>
          <w:p w:rsidR="00426ABE" w:rsidRDefault="009B4E43">
            <w:pPr>
              <w:pStyle w:val="Default"/>
              <w:jc w:val="both"/>
              <w:rPr>
                <w:rFonts w:ascii="宋体" w:hAnsi="宋体" w:cs="Times New Roman"/>
                <w:bCs/>
                <w:color w:val="auto"/>
                <w:kern w:val="2"/>
                <w:sz w:val="22"/>
                <w:szCs w:val="22"/>
              </w:rPr>
            </w:pPr>
            <w:r>
              <w:rPr>
                <w:rFonts w:ascii="宋体" w:hAnsi="宋体" w:cs="Times New Roman"/>
                <w:bCs/>
                <w:color w:val="auto"/>
                <w:kern w:val="2"/>
                <w:sz w:val="22"/>
                <w:szCs w:val="22"/>
              </w:rPr>
              <w:t>与交易对手具有法律相关性</w:t>
            </w:r>
          </w:p>
        </w:tc>
        <w:tc>
          <w:tcPr>
            <w:tcW w:w="19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80%</w:t>
            </w:r>
          </w:p>
        </w:tc>
      </w:tr>
      <w:tr w:rsidR="00426ABE">
        <w:trPr>
          <w:trHeight w:val="266"/>
        </w:trPr>
        <w:tc>
          <w:tcPr>
            <w:tcW w:w="4514" w:type="dxa"/>
          </w:tcPr>
          <w:p w:rsidR="00426ABE" w:rsidRDefault="009B4E43">
            <w:pPr>
              <w:pStyle w:val="Default"/>
              <w:jc w:val="both"/>
              <w:rPr>
                <w:rFonts w:ascii="宋体" w:hAnsi="宋体" w:cs="Times New Roman"/>
                <w:bCs/>
                <w:color w:val="auto"/>
                <w:kern w:val="2"/>
                <w:sz w:val="22"/>
                <w:szCs w:val="22"/>
              </w:rPr>
            </w:pPr>
            <w:r>
              <w:rPr>
                <w:rFonts w:ascii="宋体" w:hAnsi="宋体" w:cs="Times New Roman"/>
                <w:bCs/>
                <w:color w:val="auto"/>
                <w:kern w:val="2"/>
                <w:sz w:val="22"/>
                <w:szCs w:val="22"/>
              </w:rPr>
              <w:t>与交易对手同在一个行业或地区</w:t>
            </w:r>
          </w:p>
        </w:tc>
        <w:tc>
          <w:tcPr>
            <w:tcW w:w="1921" w:type="dxa"/>
          </w:tcPr>
          <w:p w:rsidR="00426ABE" w:rsidRDefault="009B4E43">
            <w:pPr>
              <w:pStyle w:val="Default"/>
              <w:jc w:val="center"/>
              <w:rPr>
                <w:rFonts w:ascii="宋体" w:hAnsi="宋体" w:cs="Times New Roman"/>
                <w:bCs/>
                <w:color w:val="auto"/>
                <w:kern w:val="2"/>
                <w:sz w:val="22"/>
                <w:szCs w:val="22"/>
              </w:rPr>
            </w:pPr>
            <w:r>
              <w:rPr>
                <w:rFonts w:ascii="宋体" w:hAnsi="宋体" w:cs="Times New Roman"/>
                <w:bCs/>
                <w:color w:val="auto"/>
                <w:kern w:val="2"/>
                <w:sz w:val="22"/>
                <w:szCs w:val="22"/>
              </w:rPr>
              <w:t>50%</w:t>
            </w:r>
          </w:p>
        </w:tc>
      </w:tr>
    </w:tbl>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（四）IH表示银行使用指数对冲工具，导致交易对手整体层面的CVA风险降低，计算公式如下：</w:t>
      </w:r>
    </w:p>
    <w:p w:rsidR="00426ABE" w:rsidRDefault="009B4E43" w:rsidP="008458E5">
      <w:pPr>
        <w:spacing w:beforeLines="50" w:before="156"/>
        <w:jc w:val="center"/>
        <w:rPr>
          <w:rFonts w:ascii="仿宋_GB2312" w:eastAsia="仿宋_GB2312"/>
          <w:sz w:val="30"/>
          <w:szCs w:val="30"/>
        </w:rPr>
      </w:pPr>
      <w:r>
        <w:rPr>
          <w:rFonts w:ascii="仿宋_GB2312" w:eastAsia="仿宋_GB2312" w:hint="eastAsia"/>
          <w:position w:val="-28"/>
          <w:sz w:val="30"/>
          <w:szCs w:val="30"/>
        </w:rPr>
        <w:object w:dxaOrig="3204" w:dyaOrig="540">
          <v:shape id="_x0000_i1056" type="#_x0000_t75" style="width:160pt;height:26.8pt" o:ole="">
            <v:imagedata r:id="rId69" o:title=""/>
          </v:shape>
          <o:OLEObject Type="Embed" ProgID="Equation.DSMT4" ShapeID="_x0000_i1056" DrawAspect="Content" ObjectID="_1738163157" r:id="rId70"/>
        </w:objec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position w:val="-14"/>
          <w:sz w:val="30"/>
          <w:szCs w:val="30"/>
        </w:rPr>
        <w:object w:dxaOrig="696" w:dyaOrig="456">
          <v:shape id="_x0000_i1057" type="#_x0000_t75" style="width:34.8pt;height:23.05pt" o:ole="">
            <v:imagedata r:id="rId71" o:title=""/>
          </v:shape>
          <o:OLEObject Type="Embed" ProgID="Equation.DSMT4" ShapeID="_x0000_i1057" DrawAspect="Content" ObjectID="_1738163158" r:id="rId72"/>
        </w:object>
      </w:r>
      <w:r>
        <w:rPr>
          <w:rFonts w:ascii="仿宋_GB2312" w:eastAsia="仿宋_GB2312" w:hint="eastAsia"/>
          <w:sz w:val="30"/>
          <w:szCs w:val="30"/>
        </w:rPr>
        <w:t>是指数信用违约互换</w:t>
      </w:r>
      <w:proofErr w:type="spellStart"/>
      <w:r>
        <w:rPr>
          <w:rFonts w:ascii="仿宋_GB2312" w:eastAsia="仿宋_GB2312" w:hint="eastAsia"/>
          <w:sz w:val="30"/>
          <w:szCs w:val="30"/>
        </w:rPr>
        <w:t>i</w:t>
      </w:r>
      <w:proofErr w:type="spellEnd"/>
      <w:r>
        <w:rPr>
          <w:rFonts w:ascii="仿宋_GB2312" w:eastAsia="仿宋_GB2312" w:hint="eastAsia"/>
          <w:sz w:val="30"/>
          <w:szCs w:val="30"/>
        </w:rPr>
        <w:t>的剩余期限。</w: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position w:val="-14"/>
          <w:sz w:val="30"/>
          <w:szCs w:val="30"/>
        </w:rPr>
        <w:object w:dxaOrig="576" w:dyaOrig="456">
          <v:shape id="_x0000_i1058" type="#_x0000_t75" style="width:28.7pt;height:23.05pt" o:ole="">
            <v:imagedata r:id="rId73" o:title=""/>
          </v:shape>
          <o:OLEObject Type="Embed" ProgID="Equation.DSMT4" ShapeID="_x0000_i1058" DrawAspect="Content" ObjectID="_1738163159" r:id="rId74"/>
        </w:object>
      </w:r>
      <w:r>
        <w:rPr>
          <w:rFonts w:ascii="仿宋_GB2312" w:eastAsia="仿宋_GB2312" w:hint="eastAsia"/>
          <w:sz w:val="30"/>
          <w:szCs w:val="30"/>
        </w:rPr>
        <w:t>是指数信用违约互换</w:t>
      </w:r>
      <w:proofErr w:type="spellStart"/>
      <w:r>
        <w:rPr>
          <w:rFonts w:ascii="仿宋_GB2312" w:eastAsia="仿宋_GB2312" w:hint="eastAsia"/>
          <w:sz w:val="30"/>
          <w:szCs w:val="30"/>
        </w:rPr>
        <w:t>i</w:t>
      </w:r>
      <w:proofErr w:type="spellEnd"/>
      <w:r>
        <w:rPr>
          <w:rFonts w:ascii="仿宋_GB2312" w:eastAsia="仿宋_GB2312" w:hint="eastAsia"/>
          <w:sz w:val="30"/>
          <w:szCs w:val="30"/>
        </w:rPr>
        <w:t xml:space="preserve"> 的名义本金。</w:t>
      </w:r>
    </w:p>
    <w:p w:rsidR="00426ABE" w:rsidRDefault="009B4E43">
      <w:pPr>
        <w:ind w:firstLineChars="200" w:firstLine="600"/>
        <w:rPr>
          <w:rFonts w:ascii="仿宋_GB2312" w:eastAsia="仿宋_GB2312"/>
          <w:sz w:val="30"/>
          <w:szCs w:val="30"/>
        </w:rPr>
      </w:pPr>
      <w:r>
        <w:rPr>
          <w:rFonts w:ascii="仿宋_GB2312" w:eastAsia="仿宋_GB2312" w:hint="eastAsia"/>
          <w:position w:val="-12"/>
          <w:sz w:val="30"/>
          <w:szCs w:val="30"/>
        </w:rPr>
        <w:object w:dxaOrig="684" w:dyaOrig="384">
          <v:shape id="_x0000_i1059" type="#_x0000_t75" style="width:34.35pt;height:19.3pt" o:ole="">
            <v:imagedata r:id="rId75" o:title=""/>
          </v:shape>
          <o:OLEObject Type="Embed" ProgID="Equation.DSMT4" ShapeID="_x0000_i1059" DrawAspect="Content" ObjectID="_1738163160" r:id="rId76"/>
        </w:object>
      </w:r>
      <w:r>
        <w:rPr>
          <w:rFonts w:ascii="仿宋_GB2312" w:eastAsia="仿宋_GB2312" w:hint="eastAsia"/>
          <w:sz w:val="30"/>
          <w:szCs w:val="30"/>
        </w:rPr>
        <w:t>是监管折现因子, 公式为</w:t>
      </w:r>
      <w:r>
        <w:rPr>
          <w:rFonts w:ascii="仿宋_GB2312" w:eastAsia="仿宋_GB2312" w:hint="eastAsia"/>
          <w:position w:val="-40"/>
          <w:sz w:val="30"/>
          <w:szCs w:val="30"/>
        </w:rPr>
        <w:object w:dxaOrig="1568" w:dyaOrig="851">
          <v:shape id="_x0000_i1060" type="#_x0000_t75" style="width:78.6pt;height:42.8pt" o:ole="">
            <v:imagedata r:id="rId77" o:title=""/>
          </v:shape>
          <o:OLEObject Type="Embed" ProgID="Equation.DSMT4" ShapeID="_x0000_i1060" DrawAspect="Content" ObjectID="_1738163161" r:id="rId78"/>
        </w:object>
      </w:r>
      <w:r>
        <w:rPr>
          <w:rFonts w:ascii="仿宋_GB2312" w:eastAsia="仿宋_GB2312" w:hint="eastAsia"/>
          <w:sz w:val="30"/>
          <w:szCs w:val="30"/>
        </w:rPr>
        <w:t xml:space="preserve"> 。</w: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position w:val="-16"/>
          <w:sz w:val="30"/>
          <w:szCs w:val="30"/>
        </w:rPr>
        <w:object w:dxaOrig="636" w:dyaOrig="444">
          <v:shape id="_x0000_i1061" type="#_x0000_t75" style="width:32pt;height:22.1pt" o:ole="">
            <v:imagedata r:id="rId79" o:title=""/>
          </v:shape>
          <o:OLEObject Type="Embed" ProgID="Equation.DSMT4" ShapeID="_x0000_i1061" DrawAspect="Content" ObjectID="_1738163162" r:id="rId80"/>
        </w:object>
      </w:r>
      <w:r>
        <w:rPr>
          <w:rFonts w:ascii="仿宋_GB2312" w:eastAsia="仿宋_GB2312" w:hint="eastAsia"/>
          <w:sz w:val="30"/>
          <w:szCs w:val="30"/>
        </w:rPr>
        <w:t>是指数信用违约互换</w:t>
      </w:r>
      <w:proofErr w:type="spellStart"/>
      <w:r>
        <w:rPr>
          <w:rFonts w:ascii="仿宋_GB2312" w:eastAsia="仿宋_GB2312" w:hint="eastAsia"/>
          <w:sz w:val="30"/>
          <w:szCs w:val="30"/>
        </w:rPr>
        <w:t>i</w:t>
      </w:r>
      <w:proofErr w:type="spellEnd"/>
      <w:r>
        <w:rPr>
          <w:rFonts w:ascii="仿宋_GB2312" w:eastAsia="仿宋_GB2312" w:hint="eastAsia"/>
          <w:sz w:val="30"/>
          <w:szCs w:val="30"/>
        </w:rPr>
        <w:t>的监管风险权重。对于属于同一行业且信用水平相同的指数，应在表1相应数值上乘以0.7；对于跨行业或跨信用水平等级的指数，应基于表1相应数值并根据指数加权计算后乘以0.7。</w: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t>（五）</w:t>
      </w:r>
      <w:r>
        <w:rPr>
          <w:rFonts w:ascii="仿宋_GB2312" w:eastAsia="仿宋_GB2312" w:hint="eastAsia"/>
          <w:position w:val="-12"/>
          <w:sz w:val="30"/>
          <w:szCs w:val="30"/>
        </w:rPr>
        <w:object w:dxaOrig="744" w:dyaOrig="360">
          <v:shape id="_x0000_i1062" type="#_x0000_t75" style="width:37.2pt;height:17.9pt" o:ole="">
            <v:imagedata r:id="rId81" o:title=""/>
          </v:shape>
          <o:OLEObject Type="Embed" ProgID="Equation.DSMT4" ShapeID="_x0000_i1062" DrawAspect="Content" ObjectID="_1738163163" r:id="rId82"/>
        </w:object>
      </w:r>
      <w:r>
        <w:rPr>
          <w:rFonts w:ascii="仿宋_GB2312" w:eastAsia="仿宋_GB2312" w:hint="eastAsia"/>
          <w:sz w:val="30"/>
          <w:szCs w:val="30"/>
        </w:rPr>
        <w:t>为表示错位对冲的参数，用于限制非直接对冲对资本要求的降低程度，计算公式如下：</w:t>
      </w:r>
    </w:p>
    <w:bookmarkStart w:id="2" w:name="_GoBack"/>
    <w:bookmarkEnd w:id="2"/>
    <w:p w:rsidR="00426ABE" w:rsidRDefault="009B4E43" w:rsidP="00E42AD6">
      <w:pPr>
        <w:jc w:val="center"/>
        <w:rPr>
          <w:rFonts w:ascii="仿宋_GB2312" w:eastAsia="仿宋_GB2312"/>
          <w:sz w:val="30"/>
          <w:szCs w:val="30"/>
        </w:rPr>
      </w:pPr>
      <w:r>
        <w:rPr>
          <w:rFonts w:ascii="仿宋_GB2312" w:eastAsia="仿宋_GB2312" w:hint="eastAsia"/>
          <w:position w:val="-28"/>
          <w:sz w:val="30"/>
          <w:szCs w:val="30"/>
        </w:rPr>
        <w:object w:dxaOrig="4584" w:dyaOrig="624">
          <v:shape id="_x0000_i1063" type="#_x0000_t75" style="width:229.2pt;height:31.05pt" o:ole="">
            <v:imagedata r:id="rId83" o:title=""/>
          </v:shape>
          <o:OLEObject Type="Embed" ProgID="Equation.DSMT4" ShapeID="_x0000_i1063" DrawAspect="Content" ObjectID="_1738163164" r:id="rId84"/>
        </w:object>
      </w:r>
    </w:p>
    <w:p w:rsidR="00426ABE" w:rsidRDefault="009B4E43">
      <w:pPr>
        <w:spacing w:line="480" w:lineRule="exact"/>
        <w:ind w:firstLineChars="200" w:firstLine="600"/>
        <w:rPr>
          <w:rFonts w:ascii="仿宋_GB2312" w:eastAsia="仿宋_GB2312"/>
          <w:sz w:val="30"/>
          <w:szCs w:val="30"/>
        </w:rPr>
      </w:pPr>
      <w:r>
        <w:rPr>
          <w:rFonts w:ascii="仿宋_GB2312" w:eastAsia="仿宋_GB2312" w:hint="eastAsia"/>
          <w:sz w:val="30"/>
          <w:szCs w:val="30"/>
        </w:rPr>
        <w:t>其中：系数计算与本附件第三部分（三）一致。</w:t>
      </w:r>
    </w:p>
    <w:p w:rsidR="00426ABE" w:rsidRDefault="00426ABE">
      <w:pPr>
        <w:rPr>
          <w:sz w:val="30"/>
          <w:szCs w:val="30"/>
        </w:rPr>
      </w:pPr>
    </w:p>
    <w:sectPr w:rsidR="00426ABE">
      <w:footerReference w:type="default" r:id="rId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E14" w:rsidRDefault="009B4E43">
      <w:r>
        <w:separator/>
      </w:r>
    </w:p>
  </w:endnote>
  <w:endnote w:type="continuationSeparator" w:id="0">
    <w:p w:rsidR="00315E14" w:rsidRDefault="009B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仿宋"/>
    <w:charset w:val="86"/>
    <w:family w:val="roman"/>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85811"/>
      <w:docPartObj>
        <w:docPartGallery w:val="Page Numbers (Bottom of Page)"/>
        <w:docPartUnique/>
      </w:docPartObj>
    </w:sdtPr>
    <w:sdtEndPr>
      <w:rPr>
        <w:rFonts w:ascii="Calibri" w:hAnsi="Calibri"/>
      </w:rPr>
    </w:sdtEndPr>
    <w:sdtContent>
      <w:p w:rsidR="00426ABE" w:rsidRPr="009B4E43" w:rsidRDefault="009B4E43" w:rsidP="009B4E43">
        <w:pPr>
          <w:pStyle w:val="a6"/>
          <w:jc w:val="center"/>
          <w:rPr>
            <w:rFonts w:ascii="Calibri" w:hAnsi="Calibri"/>
          </w:rPr>
        </w:pPr>
        <w:r w:rsidRPr="009B4E43">
          <w:rPr>
            <w:rFonts w:ascii="Calibri" w:hAnsi="Calibri"/>
          </w:rPr>
          <w:fldChar w:fldCharType="begin"/>
        </w:r>
        <w:r w:rsidRPr="009B4E43">
          <w:rPr>
            <w:rFonts w:ascii="Calibri" w:hAnsi="Calibri"/>
          </w:rPr>
          <w:instrText>PAGE   \* MERGEFORMAT</w:instrText>
        </w:r>
        <w:r w:rsidRPr="009B4E43">
          <w:rPr>
            <w:rFonts w:ascii="Calibri" w:hAnsi="Calibri"/>
          </w:rPr>
          <w:fldChar w:fldCharType="separate"/>
        </w:r>
        <w:r w:rsidR="00E42AD6" w:rsidRPr="00E42AD6">
          <w:rPr>
            <w:rFonts w:ascii="Calibri" w:hAnsi="Calibri"/>
            <w:noProof/>
            <w:lang w:val="zh-CN"/>
          </w:rPr>
          <w:t>5</w:t>
        </w:r>
        <w:r w:rsidRPr="009B4E43">
          <w:rPr>
            <w:rFonts w:ascii="Calibri"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E14" w:rsidRDefault="009B4E43">
      <w:r>
        <w:separator/>
      </w:r>
    </w:p>
  </w:footnote>
  <w:footnote w:type="continuationSeparator" w:id="0">
    <w:p w:rsidR="00315E14" w:rsidRDefault="009B4E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9830CA"/>
    <w:rsid w:val="0003146D"/>
    <w:rsid w:val="000353AE"/>
    <w:rsid w:val="0004122C"/>
    <w:rsid w:val="00047C86"/>
    <w:rsid w:val="00060041"/>
    <w:rsid w:val="00076564"/>
    <w:rsid w:val="00081B45"/>
    <w:rsid w:val="000B22F5"/>
    <w:rsid w:val="000D027E"/>
    <w:rsid w:val="000D0D5E"/>
    <w:rsid w:val="000D3E6F"/>
    <w:rsid w:val="001348EE"/>
    <w:rsid w:val="00140BB4"/>
    <w:rsid w:val="0016211C"/>
    <w:rsid w:val="00173593"/>
    <w:rsid w:val="0018075E"/>
    <w:rsid w:val="001D0979"/>
    <w:rsid w:val="001D1A4F"/>
    <w:rsid w:val="002144FF"/>
    <w:rsid w:val="0022686A"/>
    <w:rsid w:val="00227DA8"/>
    <w:rsid w:val="002474FB"/>
    <w:rsid w:val="0027287D"/>
    <w:rsid w:val="00274692"/>
    <w:rsid w:val="002C3831"/>
    <w:rsid w:val="002C6D28"/>
    <w:rsid w:val="00315E14"/>
    <w:rsid w:val="003427F6"/>
    <w:rsid w:val="0036559D"/>
    <w:rsid w:val="00396C3A"/>
    <w:rsid w:val="003971D5"/>
    <w:rsid w:val="003A1A43"/>
    <w:rsid w:val="003A3A08"/>
    <w:rsid w:val="003A4A89"/>
    <w:rsid w:val="003B06AB"/>
    <w:rsid w:val="003C6E36"/>
    <w:rsid w:val="003D4237"/>
    <w:rsid w:val="003D7A7C"/>
    <w:rsid w:val="00425CC4"/>
    <w:rsid w:val="00426ABE"/>
    <w:rsid w:val="00432AD7"/>
    <w:rsid w:val="00433612"/>
    <w:rsid w:val="004661C0"/>
    <w:rsid w:val="004719F1"/>
    <w:rsid w:val="00472529"/>
    <w:rsid w:val="004D0D86"/>
    <w:rsid w:val="00503A13"/>
    <w:rsid w:val="00534234"/>
    <w:rsid w:val="005348A0"/>
    <w:rsid w:val="0057026A"/>
    <w:rsid w:val="005A34FC"/>
    <w:rsid w:val="005A4079"/>
    <w:rsid w:val="005C52C8"/>
    <w:rsid w:val="005D7D05"/>
    <w:rsid w:val="005E0D73"/>
    <w:rsid w:val="005E17FC"/>
    <w:rsid w:val="005E5B8E"/>
    <w:rsid w:val="006448DE"/>
    <w:rsid w:val="00666820"/>
    <w:rsid w:val="00672C78"/>
    <w:rsid w:val="006B2F44"/>
    <w:rsid w:val="006E60DC"/>
    <w:rsid w:val="006F5E72"/>
    <w:rsid w:val="006F6C54"/>
    <w:rsid w:val="007146A1"/>
    <w:rsid w:val="007252DF"/>
    <w:rsid w:val="00732DE6"/>
    <w:rsid w:val="00755AA0"/>
    <w:rsid w:val="007B2E32"/>
    <w:rsid w:val="00807147"/>
    <w:rsid w:val="008203A7"/>
    <w:rsid w:val="00826B82"/>
    <w:rsid w:val="0083512B"/>
    <w:rsid w:val="00840969"/>
    <w:rsid w:val="008458E5"/>
    <w:rsid w:val="00845ACA"/>
    <w:rsid w:val="00861D75"/>
    <w:rsid w:val="00863578"/>
    <w:rsid w:val="00895276"/>
    <w:rsid w:val="008A2452"/>
    <w:rsid w:val="008B47BC"/>
    <w:rsid w:val="008D5BC0"/>
    <w:rsid w:val="009109F1"/>
    <w:rsid w:val="00914995"/>
    <w:rsid w:val="00930BB6"/>
    <w:rsid w:val="00943865"/>
    <w:rsid w:val="00943A8A"/>
    <w:rsid w:val="00945A21"/>
    <w:rsid w:val="00954CD1"/>
    <w:rsid w:val="009830CA"/>
    <w:rsid w:val="00993E19"/>
    <w:rsid w:val="009959A6"/>
    <w:rsid w:val="009B4E43"/>
    <w:rsid w:val="009C4D68"/>
    <w:rsid w:val="009D1394"/>
    <w:rsid w:val="009E0E50"/>
    <w:rsid w:val="009E5B6E"/>
    <w:rsid w:val="00A037C9"/>
    <w:rsid w:val="00A22E07"/>
    <w:rsid w:val="00A30EB5"/>
    <w:rsid w:val="00A402D0"/>
    <w:rsid w:val="00A42273"/>
    <w:rsid w:val="00A65AE5"/>
    <w:rsid w:val="00A938E3"/>
    <w:rsid w:val="00AF7819"/>
    <w:rsid w:val="00B22DAF"/>
    <w:rsid w:val="00B479EE"/>
    <w:rsid w:val="00B57106"/>
    <w:rsid w:val="00B8480D"/>
    <w:rsid w:val="00B96A48"/>
    <w:rsid w:val="00BA3147"/>
    <w:rsid w:val="00BC7132"/>
    <w:rsid w:val="00BD3412"/>
    <w:rsid w:val="00BF50ED"/>
    <w:rsid w:val="00C1743E"/>
    <w:rsid w:val="00C22FBF"/>
    <w:rsid w:val="00C5596C"/>
    <w:rsid w:val="00C60564"/>
    <w:rsid w:val="00C63A39"/>
    <w:rsid w:val="00C65AC4"/>
    <w:rsid w:val="00CA0282"/>
    <w:rsid w:val="00CC4F95"/>
    <w:rsid w:val="00D316A4"/>
    <w:rsid w:val="00D350A9"/>
    <w:rsid w:val="00D47E6A"/>
    <w:rsid w:val="00D61D1E"/>
    <w:rsid w:val="00DA0A9F"/>
    <w:rsid w:val="00DA29FD"/>
    <w:rsid w:val="00DA6340"/>
    <w:rsid w:val="00DA69DB"/>
    <w:rsid w:val="00DB2216"/>
    <w:rsid w:val="00DB79DF"/>
    <w:rsid w:val="00DC195B"/>
    <w:rsid w:val="00DC3A1D"/>
    <w:rsid w:val="00DC479A"/>
    <w:rsid w:val="00E14548"/>
    <w:rsid w:val="00E25C26"/>
    <w:rsid w:val="00E42AD6"/>
    <w:rsid w:val="00E52381"/>
    <w:rsid w:val="00E536E8"/>
    <w:rsid w:val="00E7206D"/>
    <w:rsid w:val="00EA02B1"/>
    <w:rsid w:val="00ED2B56"/>
    <w:rsid w:val="00EE6C36"/>
    <w:rsid w:val="00F010C3"/>
    <w:rsid w:val="00F12F54"/>
    <w:rsid w:val="00F23B46"/>
    <w:rsid w:val="00F468A3"/>
    <w:rsid w:val="00F534D3"/>
    <w:rsid w:val="00F553B6"/>
    <w:rsid w:val="00F55710"/>
    <w:rsid w:val="00F6587B"/>
    <w:rsid w:val="00F67601"/>
    <w:rsid w:val="00FB3692"/>
    <w:rsid w:val="00FC2BC5"/>
    <w:rsid w:val="06D2502E"/>
    <w:rsid w:val="1BD93612"/>
    <w:rsid w:val="31E76E3E"/>
    <w:rsid w:val="3CDD9A70"/>
    <w:rsid w:val="5B8A756A"/>
    <w:rsid w:val="5D1D7C63"/>
    <w:rsid w:val="60401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annotation text"/>
    <w:basedOn w:val="a"/>
    <w:link w:val="Char"/>
    <w:semiHidden/>
    <w:qFormat/>
    <w:pPr>
      <w:jc w:val="left"/>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semiHidden/>
    <w:unhideWhenUsed/>
    <w:qFormat/>
  </w:style>
  <w:style w:type="paragraph" w:styleId="a8">
    <w:name w:val="Title"/>
    <w:basedOn w:val="a4"/>
    <w:next w:val="a"/>
    <w:link w:val="Char4"/>
    <w:qFormat/>
    <w:pPr>
      <w:jc w:val="center"/>
    </w:pPr>
    <w:rPr>
      <w:rFonts w:ascii="仿宋_GB2312" w:eastAsia="仿宋_GB2312" w:hAnsi="仿宋"/>
    </w:rPr>
  </w:style>
  <w:style w:type="paragraph" w:styleId="a9">
    <w:name w:val="annotation subject"/>
    <w:basedOn w:val="a3"/>
    <w:next w:val="a3"/>
    <w:link w:val="Char5"/>
    <w:uiPriority w:val="99"/>
    <w:unhideWhenUsed/>
    <w:qFormat/>
    <w:rPr>
      <w:b/>
      <w:bCs/>
    </w:rPr>
  </w:style>
  <w:style w:type="character" w:styleId="aa">
    <w:name w:val="annotation reference"/>
    <w:basedOn w:val="a0"/>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
    <w:name w:val="批注文字 Char"/>
    <w:basedOn w:val="a0"/>
    <w:link w:val="a3"/>
    <w:semiHidden/>
    <w:qFormat/>
    <w:rPr>
      <w:rFonts w:ascii="Times New Roman" w:eastAsia="宋体" w:hAnsi="Times New Roman" w:cs="Times New Roman"/>
      <w:szCs w:val="24"/>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TableColumnHeading">
    <w:name w:val="TableColumnHeading"/>
    <w:basedOn w:val="Default"/>
    <w:next w:val="Default"/>
    <w:qFormat/>
    <w:rPr>
      <w:color w:val="auto"/>
    </w:rPr>
  </w:style>
  <w:style w:type="paragraph" w:customStyle="1" w:styleId="TableText">
    <w:name w:val="TableText"/>
    <w:basedOn w:val="Default"/>
    <w:next w:val="Default"/>
    <w:qFormat/>
    <w:pPr>
      <w:widowControl/>
    </w:pPr>
    <w:rPr>
      <w:color w:val="auto"/>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5">
    <w:name w:val="批注主题 Char"/>
    <w:basedOn w:val="Char"/>
    <w:link w:val="a9"/>
    <w:uiPriority w:val="99"/>
    <w:semiHidden/>
    <w:qFormat/>
    <w:rPr>
      <w:rFonts w:ascii="Times New Roman" w:eastAsia="宋体" w:hAnsi="Times New Roman" w:cs="Times New Roman"/>
      <w:b/>
      <w:bCs/>
      <w:szCs w:val="24"/>
    </w:rPr>
  </w:style>
  <w:style w:type="paragraph" w:customStyle="1" w:styleId="11">
    <w:name w:val="修订1"/>
    <w:hidden/>
    <w:uiPriority w:val="99"/>
    <w:semiHidden/>
    <w:qFormat/>
    <w:rPr>
      <w:rFonts w:ascii="Times New Roman" w:eastAsia="宋体" w:hAnsi="Times New Roman" w:cs="Times New Roman"/>
      <w:kern w:val="2"/>
      <w:sz w:val="21"/>
      <w:szCs w:val="24"/>
    </w:rPr>
  </w:style>
  <w:style w:type="character" w:customStyle="1" w:styleId="Char4">
    <w:name w:val="标题 Char"/>
    <w:basedOn w:val="a0"/>
    <w:link w:val="a8"/>
    <w:qFormat/>
    <w:rPr>
      <w:rFonts w:ascii="仿宋_GB2312" w:eastAsia="仿宋_GB2312" w:hAnsi="仿宋" w:cs="Times New Roman"/>
      <w:kern w:val="2"/>
      <w:sz w:val="21"/>
      <w:szCs w:val="24"/>
    </w:rPr>
  </w:style>
  <w:style w:type="character" w:customStyle="1" w:styleId="Char0">
    <w:name w:val="正文文本 Char"/>
    <w:basedOn w:val="a0"/>
    <w:link w:val="a4"/>
    <w:uiPriority w:val="99"/>
    <w:semiHidden/>
    <w:qFormat/>
    <w:rPr>
      <w:rFonts w:ascii="Times New Roman" w:eastAsia="宋体" w:hAnsi="Times New Roman" w:cs="Times New Roman"/>
      <w:kern w:val="2"/>
      <w:sz w:val="21"/>
      <w:szCs w:val="24"/>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annotation text"/>
    <w:basedOn w:val="a"/>
    <w:link w:val="Char"/>
    <w:semiHidden/>
    <w:qFormat/>
    <w:pPr>
      <w:jc w:val="left"/>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semiHidden/>
    <w:unhideWhenUsed/>
    <w:qFormat/>
  </w:style>
  <w:style w:type="paragraph" w:styleId="a8">
    <w:name w:val="Title"/>
    <w:basedOn w:val="a4"/>
    <w:next w:val="a"/>
    <w:link w:val="Char4"/>
    <w:qFormat/>
    <w:pPr>
      <w:jc w:val="center"/>
    </w:pPr>
    <w:rPr>
      <w:rFonts w:ascii="仿宋_GB2312" w:eastAsia="仿宋_GB2312" w:hAnsi="仿宋"/>
    </w:rPr>
  </w:style>
  <w:style w:type="paragraph" w:styleId="a9">
    <w:name w:val="annotation subject"/>
    <w:basedOn w:val="a3"/>
    <w:next w:val="a3"/>
    <w:link w:val="Char5"/>
    <w:uiPriority w:val="99"/>
    <w:unhideWhenUsed/>
    <w:qFormat/>
    <w:rPr>
      <w:b/>
      <w:bCs/>
    </w:rPr>
  </w:style>
  <w:style w:type="character" w:styleId="aa">
    <w:name w:val="annotation reference"/>
    <w:basedOn w:val="a0"/>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
    <w:name w:val="批注文字 Char"/>
    <w:basedOn w:val="a0"/>
    <w:link w:val="a3"/>
    <w:semiHidden/>
    <w:qFormat/>
    <w:rPr>
      <w:rFonts w:ascii="Times New Roman" w:eastAsia="宋体" w:hAnsi="Times New Roman" w:cs="Times New Roman"/>
      <w:szCs w:val="24"/>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TableColumnHeading">
    <w:name w:val="TableColumnHeading"/>
    <w:basedOn w:val="Default"/>
    <w:next w:val="Default"/>
    <w:qFormat/>
    <w:rPr>
      <w:color w:val="auto"/>
    </w:rPr>
  </w:style>
  <w:style w:type="paragraph" w:customStyle="1" w:styleId="TableText">
    <w:name w:val="TableText"/>
    <w:basedOn w:val="Default"/>
    <w:next w:val="Default"/>
    <w:qFormat/>
    <w:pPr>
      <w:widowControl/>
    </w:pPr>
    <w:rPr>
      <w:color w:val="auto"/>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5">
    <w:name w:val="批注主题 Char"/>
    <w:basedOn w:val="Char"/>
    <w:link w:val="a9"/>
    <w:uiPriority w:val="99"/>
    <w:semiHidden/>
    <w:qFormat/>
    <w:rPr>
      <w:rFonts w:ascii="Times New Roman" w:eastAsia="宋体" w:hAnsi="Times New Roman" w:cs="Times New Roman"/>
      <w:b/>
      <w:bCs/>
      <w:szCs w:val="24"/>
    </w:rPr>
  </w:style>
  <w:style w:type="paragraph" w:customStyle="1" w:styleId="11">
    <w:name w:val="修订1"/>
    <w:hidden/>
    <w:uiPriority w:val="99"/>
    <w:semiHidden/>
    <w:qFormat/>
    <w:rPr>
      <w:rFonts w:ascii="Times New Roman" w:eastAsia="宋体" w:hAnsi="Times New Roman" w:cs="Times New Roman"/>
      <w:kern w:val="2"/>
      <w:sz w:val="21"/>
      <w:szCs w:val="24"/>
    </w:rPr>
  </w:style>
  <w:style w:type="character" w:customStyle="1" w:styleId="Char4">
    <w:name w:val="标题 Char"/>
    <w:basedOn w:val="a0"/>
    <w:link w:val="a8"/>
    <w:qFormat/>
    <w:rPr>
      <w:rFonts w:ascii="仿宋_GB2312" w:eastAsia="仿宋_GB2312" w:hAnsi="仿宋" w:cs="Times New Roman"/>
      <w:kern w:val="2"/>
      <w:sz w:val="21"/>
      <w:szCs w:val="24"/>
    </w:rPr>
  </w:style>
  <w:style w:type="character" w:customStyle="1" w:styleId="Char0">
    <w:name w:val="正文文本 Char"/>
    <w:basedOn w:val="a0"/>
    <w:link w:val="a4"/>
    <w:uiPriority w:val="99"/>
    <w:semiHidden/>
    <w:qFormat/>
    <w:rPr>
      <w:rFonts w:ascii="Times New Roman" w:eastAsia="宋体" w:hAnsi="Times New Roman" w:cs="Times New Roman"/>
      <w:kern w:val="2"/>
      <w:sz w:val="21"/>
      <w:szCs w:val="24"/>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6.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8.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creator>刘 骁</dc:creator>
  <cp:lastModifiedBy>梁爽</cp:lastModifiedBy>
  <cp:revision>105</cp:revision>
  <dcterms:created xsi:type="dcterms:W3CDTF">2020-09-17T14:22:00Z</dcterms:created>
  <dcterms:modified xsi:type="dcterms:W3CDTF">2023-02-17T10:17:00Z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01A221BB642A42FDA5D1F2EC5396359C</vt:lpwstr>
  </property>
</Properties>
</file>